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ascii="黑体" w:hAnsi="黑体" w:eastAsia="黑体" w:cs="黑体"/>
          <w:kern w:val="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遂昌县教育研究室文件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8"/>
        </w:rPr>
      </w:pPr>
    </w:p>
    <w:p>
      <w:pPr>
        <w:widowControl/>
        <w:wordWrap w:val="0"/>
        <w:spacing w:line="360" w:lineRule="auto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遂教研【2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】第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p>
      <w:pPr>
        <w:widowControl/>
        <w:wordWrap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5080" r="0" b="4445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39.35pt;mso-wrap-distance-bottom:0pt;mso-wrap-distance-top:0pt;z-index:251660288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2bBc&#10;0gAAAAUBAAAPAAAAAAAAAAEAIAAAACIAAABkcnMvZG93bnJldi54bWxQSwECFAAUAAAACACHTuJA&#10;NvRALu4BAADYAwAADgAAAAAAAAABACAAAAAh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公布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2024年遂昌县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小学道德与法治作业设计能力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评比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分项等级测评卷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活动的通知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42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全县各中小学：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为贯彻“双减”工作精神，减轻学生课业负担，促进小学道德与法治教师作业设计能力的提升，助力双减落地见效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遂昌县教育研究室组织开展了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遂昌县小学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道德与法治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优秀作业设计评比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分项等级测评卷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经教育研究室组织评委评比，现将评比结果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42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附件：2024年遂昌县小学道德与法治作业设计能力评比（分项等级测评卷）</w:t>
      </w:r>
    </w:p>
    <w:p>
      <w:pPr>
        <w:adjustRightInd w:val="0"/>
        <w:snapToGrid w:val="0"/>
        <w:spacing w:line="300" w:lineRule="auto"/>
        <w:ind w:right="42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遂昌县教育研究室</w:t>
      </w:r>
    </w:p>
    <w:p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二0二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0288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dCdvYAAAACAEAAA8AAAAAAAAAAQAgAAAAIgAAAGRycy9kb3ducmV2LnhtbFBLAQIU&#10;ABQAAAAIAIdO4kC6wwMY8wEAAOcDAAAOAAAAAAAAAAEAIAAAACc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AbaV0QAAAAIBAAAPAAAAAAAAAAEAIAAAACIAAABkcnMvZG93bnJldi54bWxQSwECFAAUAAAACACH&#10;TuJAQTYw4vIBAADm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>遂昌县教育研究室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日印发</w:t>
      </w:r>
    </w:p>
    <w:p>
      <w:pPr>
        <w:snapToGrid w:val="0"/>
        <w:spacing w:line="56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2024年遂昌县小学道德与法治作业设计能力（分项等级测评卷）评比结果</w:t>
      </w:r>
    </w:p>
    <w:tbl>
      <w:tblPr>
        <w:tblStyle w:val="5"/>
        <w:tblW w:w="937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475"/>
        <w:gridCol w:w="5225"/>
        <w:gridCol w:w="1163"/>
        <w:gridCol w:w="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小学道德与法治三年级下册期终素养认知检测卷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三年级下册素养测评卷“做爱国少年，游思政之旅”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林如珍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小学道德与法治三年级上册期末分项等级测评卷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2024学年第二学期四年级道德与法治 期末素养卷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四年级上册道德与法治分项等级测评卷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周凌燕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集五福 迎新年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王巧燕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五年级上册小学道德与法治作业设计能力评比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周钰芳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三年级上册道德与法治期末素养测评卷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刘李梦姣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小学六年级道德与法治第一学期期末检测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阙丽晶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小学三年级道德与法治测评卷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廖鑫胜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三年级上册《道德与法治》期末测评卷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六年级上册期末道德与法治分项等级测评卷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2024学年第一学期期末综合素质检测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蓝惠香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五年级上册《道德与法治》期末分项等级测评卷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张雅芳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三年级道德与法治上学期期末分项等级测评卷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五年级下册道德与法治期末评估卷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周献辉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三年级上册道德与法治期末试卷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方斐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小学道德与法治分项等级测评卷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人教版小学道德与法治四年级上册期末设计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道德与法治四年级上册期末分项等级测评卷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雷巧能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素养导向下六年级道德与法治分项测评卷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叶冬丽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五年级上册道德与法治期末分项等级测试卷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六年级第一学期道德与法治分项等级测评卷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叶小富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2024-2025学年五年级道德与法治上册期末试卷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吴姝洁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三年级上册道德与法治测试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戴彩兰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2024年秋季道德与法治四年级上册期末测试卷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遂昌县小学道德与法治四年级期末分项等级测评卷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林伟丽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六年级上册《道德与法治》期末分享等级测评卷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五年级上册道德与法治分项等级测评卷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三年级上册道德与法治试题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兰丽媛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四年级上册道德与法治分项等级测评卷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小学四年级 2024学年第一学期四年级上册道德与法治期末测评卷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黄晓雯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六年级上册期末道德与法治分项等级测评卷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罗卫东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四年级上册道德与法治作业设计能力分项等级测评卷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赖黎辉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三年级上册道德与法治分项等级测试卷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周华君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六年级道德法治分项等级测评卷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蓝摇来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五年级道德与法治期末分项等级测评卷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人教版道德与法治五年级上册期末测试题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姜奎权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5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二0二四学年第一学期六年级道德与法治期末分项等级测评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林金娥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napToGrid w:val="0"/>
        <w:spacing w:line="56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TMzMzlkZTRhMjkwNWNhNDFkZjFjMTFjNTc4M2YifQ=="/>
  </w:docVars>
  <w:rsids>
    <w:rsidRoot w:val="00E04E3B"/>
    <w:rsid w:val="00112C0E"/>
    <w:rsid w:val="002815F7"/>
    <w:rsid w:val="00346B81"/>
    <w:rsid w:val="004858F5"/>
    <w:rsid w:val="00521039"/>
    <w:rsid w:val="005D6AFD"/>
    <w:rsid w:val="00753B41"/>
    <w:rsid w:val="007A13FE"/>
    <w:rsid w:val="00AA131B"/>
    <w:rsid w:val="00B27C95"/>
    <w:rsid w:val="00B951B2"/>
    <w:rsid w:val="00BA2490"/>
    <w:rsid w:val="00D169DE"/>
    <w:rsid w:val="00D336D0"/>
    <w:rsid w:val="00DA1022"/>
    <w:rsid w:val="00E04E3B"/>
    <w:rsid w:val="02E97F91"/>
    <w:rsid w:val="080C61B7"/>
    <w:rsid w:val="0AD20C82"/>
    <w:rsid w:val="0DDC218E"/>
    <w:rsid w:val="113D2DB4"/>
    <w:rsid w:val="183E27FA"/>
    <w:rsid w:val="19793FA6"/>
    <w:rsid w:val="1D73355D"/>
    <w:rsid w:val="1FBF50BD"/>
    <w:rsid w:val="207E1C7F"/>
    <w:rsid w:val="2786250D"/>
    <w:rsid w:val="28662990"/>
    <w:rsid w:val="2ABC3FC1"/>
    <w:rsid w:val="38E26DEC"/>
    <w:rsid w:val="40B17F38"/>
    <w:rsid w:val="45D109A0"/>
    <w:rsid w:val="46216D20"/>
    <w:rsid w:val="468C5E5B"/>
    <w:rsid w:val="482F0E7E"/>
    <w:rsid w:val="4DBA61BD"/>
    <w:rsid w:val="503C2381"/>
    <w:rsid w:val="5128428C"/>
    <w:rsid w:val="524D13AE"/>
    <w:rsid w:val="527A44CE"/>
    <w:rsid w:val="672D463C"/>
    <w:rsid w:val="67562203"/>
    <w:rsid w:val="6BD85D2F"/>
    <w:rsid w:val="6CF9763E"/>
    <w:rsid w:val="6DC8126F"/>
    <w:rsid w:val="6ECA34D8"/>
    <w:rsid w:val="76FE7AF6"/>
    <w:rsid w:val="7DA23D80"/>
    <w:rsid w:val="7E3C7344"/>
    <w:rsid w:val="7FC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690</Words>
  <Characters>720</Characters>
  <Lines>4</Lines>
  <Paragraphs>1</Paragraphs>
  <TotalTime>3</TotalTime>
  <ScaleCrop>false</ScaleCrop>
  <LinksUpToDate>false</LinksUpToDate>
  <CharactersWithSpaces>740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2024-05-13T02:25:00Z</dcterms:created>
  <dc:creator>Admin</dc:creator>
  <cp:lastModifiedBy>HD</cp:lastModifiedBy>
  <dcterms:modified xsi:type="dcterms:W3CDTF">2025-03-05T07:44:30Z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AE8A28C1D3294C999B49DFDB9E17E49F_13</vt:lpwstr>
  </property>
  <property fmtid="{D5CDD505-2E9C-101B-9397-08002B2CF9AE}" pid="4" name="KSOTemplateDocerSaveRecord">
    <vt:lpwstr>eyJoZGlkIjoiOWI1OTMzMzlkZTRhMjkwNWNhNDFkZjFjMTFjNTc4M2YiLCJ1c2VySWQiOiIxOTk3NjQzNTgifQ==</vt:lpwstr>
  </property>
</Properties>
</file>