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3060" w:firstLineChars="1275"/>
        <w:rPr>
          <w:rFonts w:ascii="黑体" w:hAnsi="黑体" w:eastAsia="黑体"/>
          <w:b/>
          <w:sz w:val="52"/>
          <w:szCs w:val="40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59264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40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</w:t>
      </w:r>
      <w:bookmarkStart w:id="0" w:name="_Hlk127772663"/>
      <w:r>
        <w:rPr>
          <w:rFonts w:hint="eastAsia" w:ascii="黑体" w:hAnsi="黑体" w:eastAsia="黑体" w:cs="黑体"/>
          <w:b/>
          <w:sz w:val="32"/>
          <w:szCs w:val="32"/>
        </w:rPr>
        <w:t>组织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遂昌县</w:t>
      </w:r>
      <w:r>
        <w:rPr>
          <w:rFonts w:hint="eastAsia" w:ascii="黑体" w:hAnsi="黑体" w:eastAsia="黑体" w:cs="黑体"/>
          <w:b/>
          <w:sz w:val="32"/>
          <w:szCs w:val="32"/>
        </w:rPr>
        <w:t>小学生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数学学科素养分项能力（</w:t>
      </w:r>
      <w:r>
        <w:rPr>
          <w:rFonts w:hint="eastAsia" w:ascii="黑体" w:hAnsi="黑体" w:eastAsia="黑体" w:cs="黑体"/>
          <w:b/>
          <w:sz w:val="32"/>
          <w:szCs w:val="32"/>
        </w:rPr>
        <w:t>计算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）</w:t>
      </w:r>
    </w:p>
    <w:p>
      <w:pPr>
        <w:spacing w:after="24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展示</w:t>
      </w:r>
      <w:r>
        <w:rPr>
          <w:rFonts w:hint="eastAsia" w:ascii="黑体" w:hAnsi="黑体" w:eastAsia="黑体" w:cs="黑体"/>
          <w:b/>
          <w:sz w:val="32"/>
          <w:szCs w:val="32"/>
        </w:rPr>
        <w:t>活动</w:t>
      </w:r>
      <w:bookmarkEnd w:id="0"/>
      <w:r>
        <w:rPr>
          <w:rFonts w:hint="eastAsia" w:ascii="黑体" w:hAnsi="黑体" w:eastAsia="黑体" w:cs="黑体"/>
          <w:b/>
          <w:sz w:val="32"/>
          <w:szCs w:val="32"/>
        </w:rPr>
        <w:t>的通知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全县</w:t>
      </w:r>
      <w:r>
        <w:rPr>
          <w:rFonts w:hint="eastAsia" w:ascii="宋体" w:hAnsi="宋体" w:eastAsia="宋体" w:cs="宋体"/>
          <w:sz w:val="28"/>
          <w:szCs w:val="28"/>
        </w:rPr>
        <w:t>各小学：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为贯彻落实《义务教育课程标准（2022版）》基于数学核心素养培养学生运算能力的要求，进一步促进广大教师在日常教学中重视基础计算练习，激发学生学习数学的兴趣，提升学生的数学素养，</w:t>
      </w:r>
      <w:r>
        <w:rPr>
          <w:rFonts w:hint="eastAsia" w:ascii="宋体" w:hAnsi="宋体" w:eastAsia="宋体" w:cs="宋体"/>
          <w:bCs/>
          <w:sz w:val="28"/>
          <w:szCs w:val="28"/>
        </w:rPr>
        <w:t>推动我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bCs/>
          <w:sz w:val="28"/>
          <w:szCs w:val="28"/>
        </w:rPr>
        <w:t>小学数学教育高质量发展，特举办202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遂昌县</w:t>
      </w:r>
      <w:r>
        <w:rPr>
          <w:rFonts w:hint="eastAsia" w:ascii="宋体" w:hAnsi="宋体" w:eastAsia="宋体" w:cs="宋体"/>
          <w:bCs/>
          <w:sz w:val="28"/>
          <w:szCs w:val="28"/>
        </w:rPr>
        <w:t>小学生数学学科素养分项能力（计算）展示活动。</w:t>
      </w:r>
      <w:r>
        <w:rPr>
          <w:rFonts w:hint="eastAsia" w:ascii="宋体" w:hAnsi="宋体" w:eastAsia="宋体" w:cs="宋体"/>
          <w:sz w:val="28"/>
          <w:szCs w:val="28"/>
        </w:rPr>
        <w:t>现将有关事宜通知如下：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一、活动主题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计算练习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效率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发展学生</w:t>
      </w:r>
      <w:r>
        <w:rPr>
          <w:rFonts w:hint="eastAsia" w:ascii="宋体" w:hAnsi="宋体" w:eastAsia="宋体" w:cs="宋体"/>
          <w:sz w:val="28"/>
          <w:szCs w:val="28"/>
        </w:rPr>
        <w:t>运算能力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left"/>
        <w:textAlignment w:val="auto"/>
        <w:rPr>
          <w:rFonts w:ascii="仿宋_GB2312" w:hAnsi="楷体" w:eastAsia="仿宋_GB2312" w:cs="宋体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二、活动目的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/>
        <w:textAlignment w:val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小学阶段运算能力的提高，需要在理解算理的基础上，通过适度、适量的反复练习进行强化，逐步形成技能。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本次活动摒弃过往枯燥的纸质练习方式，借助</w:t>
      </w:r>
      <w:r>
        <w:rPr>
          <w:rFonts w:hint="eastAsia" w:ascii="宋体" w:hAnsi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现代</w:t>
      </w:r>
      <w:r>
        <w:rPr>
          <w:rFonts w:hint="eastAsia" w:ascii="宋体" w:hAnsi="宋体" w:eastAsia="宋体" w:cs="宋体"/>
          <w:sz w:val="28"/>
          <w:szCs w:val="28"/>
        </w:rPr>
        <w:t>信息化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技术融入学科，</w:t>
      </w:r>
      <w:r>
        <w:rPr>
          <w:rFonts w:hint="eastAsia" w:ascii="宋体" w:hAnsi="宋体" w:eastAsia="宋体" w:cs="宋体"/>
          <w:sz w:val="28"/>
          <w:szCs w:val="28"/>
        </w:rPr>
        <w:t>扩大题量库，保证充足训练量。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方面减轻教师在计算教学中练习题量大，批改费时费力的负担，实现减负增效的目的。另一方面，通过现代信息化技术，为学生碎片化计算练习开辟有效途径，营造轻松有趣的数学学习氛围，促进学生主动练习意识，切实提高运算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left"/>
        <w:textAlignment w:val="auto"/>
        <w:rPr>
          <w:rFonts w:ascii="黑体" w:hAnsi="黑体" w:eastAsia="黑体" w:cs="黑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一至六年级学生</w:t>
      </w:r>
      <w:r>
        <w:rPr>
          <w:rFonts w:hint="eastAsia" w:ascii="宋体" w:hAnsi="宋体" w:cs="宋体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活动分城区组和乡镇组两个组别进行。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left"/>
        <w:textAlignment w:val="auto"/>
        <w:rPr>
          <w:rFonts w:ascii="黑体" w:hAnsi="黑体" w:eastAsia="黑体" w:cs="黑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四、活动时间及内容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right="112" w:firstLine="584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b/>
          <w:spacing w:val="3"/>
          <w:w w:val="102"/>
          <w:sz w:val="28"/>
          <w:szCs w:val="28"/>
          <w:lang w:val="en-US" w:eastAsia="zh-CN"/>
        </w:rPr>
        <w:t>1.</w:t>
      </w:r>
      <w:r>
        <w:rPr>
          <w:b/>
          <w:spacing w:val="3"/>
          <w:w w:val="102"/>
          <w:sz w:val="28"/>
          <w:szCs w:val="28"/>
        </w:rPr>
        <w:t>第一阶段</w:t>
      </w:r>
      <w:r>
        <w:rPr>
          <w:rFonts w:hint="eastAsia"/>
          <w:b/>
          <w:spacing w:val="3"/>
          <w:w w:val="102"/>
          <w:sz w:val="28"/>
          <w:szCs w:val="28"/>
          <w:lang w:eastAsia="zh-CN"/>
        </w:rPr>
        <w:t>：</w:t>
      </w:r>
      <w:r>
        <w:rPr>
          <w:rFonts w:hint="eastAsia"/>
          <w:b/>
          <w:spacing w:val="3"/>
          <w:w w:val="102"/>
          <w:sz w:val="28"/>
          <w:szCs w:val="28"/>
          <w:lang w:val="en-US" w:eastAsia="zh-CN"/>
        </w:rPr>
        <w:t>学生自主练习阶段，</w:t>
      </w:r>
      <w:r>
        <w:rPr>
          <w:rFonts w:hint="eastAsia"/>
          <w:b w:val="0"/>
          <w:bCs/>
          <w:spacing w:val="3"/>
          <w:w w:val="102"/>
          <w:sz w:val="28"/>
          <w:szCs w:val="28"/>
          <w:lang w:val="en-US" w:eastAsia="zh-CN"/>
        </w:rPr>
        <w:t>4月25日-5月24日</w:t>
      </w:r>
      <w:r>
        <w:rPr>
          <w:rFonts w:hint="eastAsia"/>
          <w:b/>
          <w:spacing w:val="3"/>
          <w:w w:val="102"/>
          <w:sz w:val="28"/>
          <w:szCs w:val="28"/>
          <w:lang w:val="en-US" w:eastAsia="zh-CN"/>
        </w:rPr>
        <w:t>，</w:t>
      </w:r>
      <w:r>
        <w:rPr>
          <w:rFonts w:hint="eastAsia"/>
          <w:spacing w:val="2"/>
          <w:w w:val="99"/>
          <w:sz w:val="28"/>
          <w:szCs w:val="28"/>
          <w:lang w:eastAsia="zh-CN"/>
        </w:rPr>
        <w:t>为期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4周，</w:t>
      </w:r>
      <w:r>
        <w:rPr>
          <w:rFonts w:hint="eastAsia"/>
          <w:spacing w:val="2"/>
          <w:w w:val="99"/>
          <w:sz w:val="28"/>
          <w:szCs w:val="28"/>
          <w:lang w:eastAsia="zh-CN"/>
        </w:rPr>
        <w:t>以学校为单位，学生利用碎片时间先学习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计算</w:t>
      </w:r>
      <w:r>
        <w:rPr>
          <w:rFonts w:hint="eastAsia"/>
          <w:spacing w:val="2"/>
          <w:w w:val="99"/>
          <w:sz w:val="28"/>
          <w:szCs w:val="28"/>
          <w:lang w:eastAsia="zh-CN"/>
        </w:rPr>
        <w:t>相关视频微课（由途途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课堂</w:t>
      </w:r>
      <w:r>
        <w:rPr>
          <w:rFonts w:hint="eastAsia"/>
          <w:spacing w:val="2"/>
          <w:w w:val="99"/>
          <w:sz w:val="28"/>
          <w:szCs w:val="28"/>
          <w:lang w:eastAsia="zh-CN"/>
        </w:rPr>
        <w:t>平台提供），后会在（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高途</w:t>
      </w:r>
      <w:r>
        <w:rPr>
          <w:rFonts w:hint="eastAsia"/>
          <w:spacing w:val="2"/>
          <w:w w:val="99"/>
          <w:sz w:val="28"/>
          <w:szCs w:val="28"/>
          <w:lang w:eastAsia="zh-CN"/>
        </w:rPr>
        <w:t>乐学）小程序中进行练习熟悉。参与方法简单，各校数学老师注册小程序给本班学生报名后即可参与练习赛，注册方法类似班级小管家。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right="113" w:firstLine="584" w:firstLineChars="200"/>
        <w:jc w:val="both"/>
        <w:textAlignment w:val="auto"/>
        <w:rPr>
          <w:sz w:val="28"/>
          <w:szCs w:val="28"/>
        </w:rPr>
      </w:pPr>
      <w:bookmarkStart w:id="1" w:name="_Hlk144806812"/>
      <w:r>
        <w:rPr>
          <w:rFonts w:hint="eastAsia"/>
          <w:b/>
          <w:spacing w:val="3"/>
          <w:w w:val="102"/>
          <w:sz w:val="28"/>
          <w:szCs w:val="28"/>
          <w:lang w:val="en-US" w:eastAsia="zh-CN"/>
        </w:rPr>
        <w:t>2.</w:t>
      </w:r>
      <w:r>
        <w:rPr>
          <w:b/>
          <w:spacing w:val="3"/>
          <w:w w:val="102"/>
          <w:sz w:val="28"/>
          <w:szCs w:val="28"/>
        </w:rPr>
        <w:t>第二阶段</w:t>
      </w:r>
      <w:r>
        <w:rPr>
          <w:rFonts w:hint="eastAsia"/>
          <w:b/>
          <w:spacing w:val="3"/>
          <w:w w:val="102"/>
          <w:sz w:val="28"/>
          <w:szCs w:val="28"/>
          <w:lang w:val="en-US" w:eastAsia="zh-CN"/>
        </w:rPr>
        <w:t>;学校</w:t>
      </w:r>
      <w:r>
        <w:rPr>
          <w:rFonts w:hint="eastAsia"/>
          <w:b/>
          <w:bCs/>
          <w:spacing w:val="2"/>
          <w:w w:val="99"/>
          <w:sz w:val="28"/>
          <w:szCs w:val="28"/>
          <w:lang w:val="en-US" w:eastAsia="zh-CN"/>
        </w:rPr>
        <w:t>展示阶段，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5月27日-5月30日</w:t>
      </w:r>
      <w:r>
        <w:rPr>
          <w:rFonts w:hint="eastAsia"/>
          <w:spacing w:val="2"/>
          <w:w w:val="99"/>
          <w:sz w:val="28"/>
          <w:szCs w:val="28"/>
          <w:lang w:eastAsia="zh-CN"/>
        </w:rPr>
        <w:t>为期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4天，以学校为单位，分班及统一时间段在学校机房借助高途乐学小程序完成初赛作答，</w:t>
      </w:r>
      <w:r>
        <w:rPr>
          <w:sz w:val="28"/>
          <w:szCs w:val="28"/>
        </w:rPr>
        <w:t>每个年级按照成绩选拔出前3%</w:t>
      </w:r>
      <w:r>
        <w:rPr>
          <w:spacing w:val="-17"/>
          <w:sz w:val="28"/>
          <w:szCs w:val="28"/>
        </w:rPr>
        <w:t>同学</w:t>
      </w:r>
      <w:r>
        <w:rPr>
          <w:rFonts w:hint="eastAsia"/>
          <w:spacing w:val="-17"/>
          <w:sz w:val="28"/>
          <w:szCs w:val="28"/>
          <w:lang w:eastAsia="zh-CN"/>
        </w:rPr>
        <w:t>，</w:t>
      </w:r>
      <w:r>
        <w:rPr>
          <w:spacing w:val="-17"/>
          <w:sz w:val="28"/>
          <w:szCs w:val="28"/>
        </w:rPr>
        <w:t>参加</w:t>
      </w:r>
      <w:r>
        <w:rPr>
          <w:rFonts w:hint="eastAsia"/>
          <w:spacing w:val="-17"/>
          <w:sz w:val="28"/>
          <w:szCs w:val="28"/>
          <w:lang w:val="en-US" w:eastAsia="zh-CN"/>
        </w:rPr>
        <w:t>县级展示</w:t>
      </w:r>
      <w:r>
        <w:rPr>
          <w:rFonts w:hint="eastAsia"/>
          <w:spacing w:val="-17"/>
          <w:sz w:val="28"/>
          <w:szCs w:val="28"/>
          <w:lang w:eastAsia="zh-CN"/>
        </w:rPr>
        <w:t>。</w:t>
      </w:r>
    </w:p>
    <w:bookmarkEnd w:id="1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112" w:firstLine="580" w:firstLineChars="200"/>
        <w:jc w:val="both"/>
        <w:textAlignment w:val="auto"/>
        <w:rPr>
          <w:spacing w:val="-8"/>
          <w:sz w:val="28"/>
          <w:szCs w:val="28"/>
        </w:rPr>
      </w:pPr>
      <w:r>
        <w:rPr>
          <w:rFonts w:hint="eastAsia"/>
          <w:b/>
          <w:spacing w:val="2"/>
          <w:w w:val="102"/>
          <w:sz w:val="28"/>
          <w:szCs w:val="28"/>
          <w:lang w:val="en-US" w:eastAsia="zh-CN"/>
        </w:rPr>
        <w:t>3.</w:t>
      </w:r>
      <w:r>
        <w:rPr>
          <w:b/>
          <w:spacing w:val="2"/>
          <w:w w:val="102"/>
          <w:sz w:val="28"/>
          <w:szCs w:val="28"/>
        </w:rPr>
        <w:t>第三阶段</w:t>
      </w:r>
      <w:r>
        <w:rPr>
          <w:rFonts w:hint="eastAsia"/>
          <w:b/>
          <w:spacing w:val="2"/>
          <w:w w:val="102"/>
          <w:sz w:val="28"/>
          <w:szCs w:val="28"/>
          <w:lang w:eastAsia="zh-CN"/>
        </w:rPr>
        <w:t>：</w:t>
      </w:r>
      <w:r>
        <w:rPr>
          <w:rFonts w:hint="eastAsia"/>
          <w:b/>
          <w:bCs/>
          <w:spacing w:val="1"/>
          <w:w w:val="99"/>
          <w:sz w:val="28"/>
          <w:szCs w:val="28"/>
          <w:lang w:val="en-US" w:eastAsia="zh-CN"/>
        </w:rPr>
        <w:t>县级展示阶段</w:t>
      </w:r>
      <w:r>
        <w:rPr>
          <w:rFonts w:hint="eastAsia"/>
          <w:spacing w:val="1"/>
          <w:w w:val="99"/>
          <w:sz w:val="28"/>
          <w:szCs w:val="28"/>
          <w:lang w:eastAsia="zh-CN"/>
        </w:rPr>
        <w:t>，</w:t>
      </w:r>
      <w:r>
        <w:rPr>
          <w:rFonts w:hint="eastAsia"/>
          <w:spacing w:val="2"/>
          <w:w w:val="99"/>
          <w:sz w:val="28"/>
          <w:szCs w:val="28"/>
          <w:lang w:val="en-US" w:eastAsia="zh-CN"/>
        </w:rPr>
        <w:t>6月7日，各校</w:t>
      </w:r>
      <w:r>
        <w:rPr>
          <w:spacing w:val="1"/>
          <w:w w:val="99"/>
          <w:sz w:val="28"/>
          <w:szCs w:val="28"/>
        </w:rPr>
        <w:t>排名前3%</w:t>
      </w:r>
      <w:r>
        <w:rPr>
          <w:spacing w:val="-8"/>
          <w:sz w:val="28"/>
          <w:szCs w:val="28"/>
        </w:rPr>
        <w:t>同学参赛选手集中到</w:t>
      </w:r>
      <w:r>
        <w:rPr>
          <w:rFonts w:hint="eastAsia"/>
          <w:spacing w:val="-8"/>
          <w:sz w:val="28"/>
          <w:szCs w:val="28"/>
          <w:lang w:val="en-US" w:eastAsia="zh-CN"/>
        </w:rPr>
        <w:t>县级展示</w:t>
      </w:r>
      <w:r>
        <w:rPr>
          <w:spacing w:val="-8"/>
          <w:sz w:val="28"/>
          <w:szCs w:val="28"/>
        </w:rPr>
        <w:t>现场，在规定的时间内现场答题，即时统计汇总，按一定的比例评出一、二、三等奖，颁发证书。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展示</w:t>
      </w:r>
      <w:r>
        <w:rPr>
          <w:rFonts w:hint="eastAsia" w:ascii="仿宋" w:hAnsi="仿宋" w:eastAsia="仿宋"/>
          <w:b/>
          <w:sz w:val="28"/>
          <w:szCs w:val="28"/>
        </w:rPr>
        <w:t>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校级</w:t>
      </w:r>
      <w:r>
        <w:rPr>
          <w:rFonts w:hint="eastAsia" w:ascii="宋体" w:hAnsi="宋体" w:eastAsia="宋体" w:cs="宋体"/>
          <w:bCs/>
          <w:sz w:val="28"/>
          <w:szCs w:val="28"/>
        </w:rPr>
        <w:t>通过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高途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乐学”</w:t>
      </w:r>
      <w:r>
        <w:rPr>
          <w:rFonts w:hint="eastAsia" w:ascii="宋体" w:hAnsi="宋体" w:eastAsia="宋体" w:cs="宋体"/>
          <w:bCs/>
          <w:sz w:val="28"/>
          <w:szCs w:val="28"/>
        </w:rPr>
        <w:t>小程序参与，学生可作答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3次</w:t>
      </w:r>
      <w:r>
        <w:rPr>
          <w:rFonts w:hint="eastAsia" w:ascii="宋体" w:hAnsi="宋体" w:eastAsia="宋体" w:cs="宋体"/>
          <w:bCs/>
          <w:sz w:val="28"/>
          <w:szCs w:val="28"/>
        </w:rPr>
        <w:t>，系统每次在题库中随机抽取50道题，限时10分钟，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系统自动计时及批改，将学生</w:t>
      </w:r>
      <w:r>
        <w:rPr>
          <w:rFonts w:hint="eastAsia" w:ascii="宋体" w:hAnsi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次答题最好一次成绩计入最终成绩进入排名。</w:t>
      </w:r>
      <w:r>
        <w:rPr>
          <w:rFonts w:hint="eastAsia" w:ascii="宋体" w:hAnsi="宋体" w:eastAsia="宋体" w:cs="宋体"/>
          <w:bCs/>
          <w:sz w:val="28"/>
          <w:szCs w:val="28"/>
        </w:rPr>
        <w:t>排名规则为:先按作答的正确率排名，同正确率按速度排名；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县级展示</w:t>
      </w:r>
      <w:r>
        <w:rPr>
          <w:rFonts w:hint="eastAsia" w:ascii="宋体" w:hAnsi="宋体" w:eastAsia="宋体" w:cs="宋体"/>
          <w:bCs/>
          <w:sz w:val="28"/>
          <w:szCs w:val="28"/>
        </w:rPr>
        <w:t>赛仅一次作答，现场出题，排行规则同上。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left"/>
        <w:textAlignment w:val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五、奖项设置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cs="宋体"/>
          <w:sz w:val="28"/>
          <w:szCs w:val="28"/>
          <w:lang w:val="en-US" w:eastAsia="zh-CN" w:bidi="zh-CN"/>
        </w:rPr>
      </w:pPr>
      <w:r>
        <w:rPr>
          <w:rFonts w:hint="eastAsia" w:cs="宋体"/>
          <w:sz w:val="28"/>
          <w:szCs w:val="28"/>
          <w:lang w:val="en-US" w:eastAsia="zh-CN" w:bidi="zh-CN"/>
        </w:rPr>
        <w:t>1.学生：计算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小达人奖：</w:t>
      </w:r>
      <w:r>
        <w:rPr>
          <w:rFonts w:hint="eastAsia" w:cs="宋体"/>
          <w:sz w:val="28"/>
          <w:szCs w:val="28"/>
          <w:lang w:val="en-US" w:eastAsia="zh-CN" w:bidi="zh-CN"/>
        </w:rPr>
        <w:t>按年级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分开评选，</w:t>
      </w:r>
      <w:r>
        <w:rPr>
          <w:rFonts w:hint="eastAsia" w:cs="宋体"/>
          <w:sz w:val="28"/>
          <w:szCs w:val="28"/>
          <w:lang w:val="en-US" w:eastAsia="zh-CN" w:bidi="zh-CN"/>
        </w:rPr>
        <w:t>根据系统位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按照</w:t>
      </w:r>
      <w:r>
        <w:rPr>
          <w:rFonts w:hint="eastAsia" w:cs="宋体"/>
          <w:sz w:val="28"/>
          <w:szCs w:val="28"/>
          <w:lang w:val="en-US" w:eastAsia="zh-CN" w:bidi="zh-CN"/>
        </w:rPr>
        <w:t>2:3:5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确定一二</w:t>
      </w:r>
      <w:r>
        <w:rPr>
          <w:rFonts w:hint="default" w:cs="宋体"/>
          <w:sz w:val="28"/>
          <w:szCs w:val="28"/>
          <w:lang w:eastAsia="zh-CN" w:bidi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等奖</w:t>
      </w:r>
      <w:r>
        <w:rPr>
          <w:rFonts w:hint="eastAsia" w:cs="宋体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cs="宋体"/>
          <w:sz w:val="28"/>
          <w:szCs w:val="28"/>
          <w:lang w:val="en-US" w:eastAsia="zh-CN" w:bidi="zh-CN"/>
        </w:rPr>
        <w:t>2.老师：获得一等奖的学生班级数学教师将获得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优秀辅导老师奖，</w:t>
      </w:r>
      <w:r>
        <w:rPr>
          <w:rFonts w:hint="eastAsia" w:cs="宋体"/>
          <w:sz w:val="28"/>
          <w:szCs w:val="28"/>
          <w:lang w:val="en-US" w:eastAsia="zh-CN" w:bidi="zh-CN"/>
        </w:rPr>
        <w:t>颁发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优秀指导教师证书</w:t>
      </w:r>
      <w:r>
        <w:rPr>
          <w:rFonts w:hint="eastAsia" w:cs="宋体"/>
          <w:sz w:val="28"/>
          <w:szCs w:val="28"/>
          <w:lang w:val="en-US" w:eastAsia="zh-CN" w:bidi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95" w:firstLineChars="100"/>
        <w:textAlignment w:val="auto"/>
        <w:rPr>
          <w:b/>
          <w:bCs w:val="0"/>
          <w:sz w:val="28"/>
          <w:szCs w:val="28"/>
          <w:shd w:val="clear" w:color="auto" w:fill="auto"/>
        </w:rPr>
      </w:pPr>
      <w:r>
        <w:rPr>
          <w:rFonts w:hint="eastAsia"/>
          <w:b/>
          <w:bCs w:val="0"/>
          <w:w w:val="105"/>
          <w:sz w:val="28"/>
          <w:szCs w:val="28"/>
          <w:shd w:val="clear" w:color="auto" w:fill="auto"/>
          <w:lang w:val="en-US" w:eastAsia="zh-CN"/>
        </w:rPr>
        <w:t>六</w:t>
      </w:r>
      <w:r>
        <w:rPr>
          <w:b/>
          <w:bCs w:val="0"/>
          <w:w w:val="105"/>
          <w:sz w:val="28"/>
          <w:szCs w:val="28"/>
          <w:shd w:val="clear" w:color="auto" w:fill="auto"/>
        </w:rPr>
        <w:t>、组织单位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主办单位:遂昌县教</w:t>
      </w:r>
      <w:r>
        <w:rPr>
          <w:rFonts w:hint="eastAsia"/>
          <w:sz w:val="28"/>
          <w:szCs w:val="28"/>
          <w:lang w:val="en-US" w:eastAsia="zh-CN"/>
        </w:rPr>
        <w:t>育研究</w:t>
      </w:r>
      <w:r>
        <w:rPr>
          <w:sz w:val="28"/>
          <w:szCs w:val="28"/>
        </w:rPr>
        <w:t>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eastAsia="zh-CN"/>
        </w:rPr>
        <w:t>承办单位:</w:t>
      </w:r>
      <w:r>
        <w:rPr>
          <w:rFonts w:hint="eastAsia"/>
          <w:sz w:val="28"/>
          <w:szCs w:val="28"/>
          <w:lang w:val="en-US" w:eastAsia="zh-CN"/>
        </w:rPr>
        <w:t>高途乐学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技术支持：</w:t>
      </w:r>
      <w:r>
        <w:rPr>
          <w:rFonts w:hint="eastAsia"/>
          <w:sz w:val="28"/>
          <w:szCs w:val="28"/>
          <w:lang w:val="en-US" w:eastAsia="zh-CN"/>
        </w:rPr>
        <w:t>15990153881（王登丰）</w:t>
      </w:r>
      <w:r>
        <w:rPr>
          <w:rFonts w:hint="eastAsia"/>
          <w:sz w:val="28"/>
          <w:szCs w:val="28"/>
          <w:lang w:val="en-US"/>
        </w:rPr>
        <w:t>18857633813（叶飞龙）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09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sz w:val="28"/>
          <w:szCs w:val="28"/>
        </w:rPr>
        <w:t>老师提前做好安排与</w:t>
      </w:r>
      <w:r>
        <w:rPr>
          <w:rFonts w:hint="eastAsia"/>
          <w:sz w:val="28"/>
          <w:szCs w:val="28"/>
          <w:lang w:val="en-US" w:eastAsia="zh-CN"/>
        </w:rPr>
        <w:t>计算</w:t>
      </w:r>
      <w:r>
        <w:rPr>
          <w:sz w:val="28"/>
          <w:szCs w:val="28"/>
        </w:rPr>
        <w:t>训练，加大对本次活动的宣传力度，认真组织开展此项工作，确保</w:t>
      </w:r>
      <w:r>
        <w:rPr>
          <w:rFonts w:hint="eastAsia"/>
          <w:sz w:val="28"/>
          <w:szCs w:val="28"/>
          <w:lang w:val="en-US" w:eastAsia="zh-CN"/>
        </w:rPr>
        <w:t>本次</w:t>
      </w:r>
      <w:r>
        <w:rPr>
          <w:sz w:val="28"/>
          <w:szCs w:val="28"/>
        </w:rPr>
        <w:t>活动顺利进行，取得实效。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53" w:leftChars="147" w:right="692" w:firstLine="4726" w:firstLineChars="1688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遂昌县</w:t>
      </w:r>
      <w:r>
        <w:rPr>
          <w:rFonts w:hint="eastAsia"/>
          <w:sz w:val="28"/>
          <w:szCs w:val="28"/>
          <w:lang w:val="en-US" w:eastAsia="zh-CN"/>
        </w:rPr>
        <w:t>教育研究室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53" w:leftChars="147" w:right="692" w:firstLine="4726" w:firstLineChars="1688"/>
        <w:jc w:val="both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pacing w:val="-54"/>
          <w:sz w:val="28"/>
          <w:szCs w:val="28"/>
        </w:rPr>
        <w:t>年</w:t>
      </w:r>
      <w:r>
        <w:rPr>
          <w:rFonts w:hint="eastAsia"/>
          <w:spacing w:val="-54"/>
          <w:sz w:val="28"/>
          <w:szCs w:val="28"/>
        </w:rPr>
        <w:t xml:space="preserve">  </w:t>
      </w:r>
      <w:r>
        <w:rPr>
          <w:spacing w:val="-54"/>
          <w:sz w:val="28"/>
          <w:szCs w:val="28"/>
        </w:rPr>
        <w:t xml:space="preserve">    </w:t>
      </w:r>
      <w:r>
        <w:rPr>
          <w:rFonts w:hint="eastAsia"/>
          <w:spacing w:val="-54"/>
          <w:sz w:val="28"/>
          <w:szCs w:val="28"/>
        </w:rPr>
        <w:t xml:space="preserve">  </w:t>
      </w:r>
      <w:r>
        <w:rPr>
          <w:spacing w:val="-54"/>
          <w:sz w:val="28"/>
          <w:szCs w:val="28"/>
        </w:rPr>
        <w:t xml:space="preserve">  </w:t>
      </w:r>
      <w:r>
        <w:rPr>
          <w:rFonts w:hint="eastAsia"/>
          <w:spacing w:val="-54"/>
          <w:sz w:val="28"/>
          <w:szCs w:val="28"/>
          <w:lang w:val="en-US" w:eastAsia="zh-CN"/>
        </w:rPr>
        <w:t>4</w:t>
      </w:r>
      <w:r>
        <w:rPr>
          <w:spacing w:val="-54"/>
          <w:sz w:val="28"/>
          <w:szCs w:val="28"/>
        </w:rPr>
        <w:t xml:space="preserve">月      </w:t>
      </w:r>
      <w:r>
        <w:rPr>
          <w:rFonts w:hint="eastAsia"/>
          <w:spacing w:val="-54"/>
          <w:sz w:val="28"/>
          <w:szCs w:val="28"/>
          <w:lang w:val="en-US" w:eastAsia="zh-CN"/>
        </w:rPr>
        <w:t>25日</w:t>
      </w:r>
      <w:r>
        <w:rPr>
          <w:rFonts w:ascii="仿宋" w:hAnsi="仿宋" w:eastAsia="仿宋"/>
          <w:bCs/>
          <w:sz w:val="28"/>
          <w:szCs w:val="28"/>
        </w:rPr>
        <w:t xml:space="preserve">   </w:t>
      </w: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.15pt;height:0pt;width:444.6pt;z-index:251660288;mso-width-relative:page;mso-height-relative:page;" filled="f" stroked="t" coordsize="21600,21600" o:gfxdata="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szmC0gAAAAUBAAAPAAAAAAAAAAEAIAAAACIAAABkcnMvZG93bnJldi54bWxQSwEC&#10;FAAUAAAACACHTuJAoGXF4f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遂昌县教育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研究室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日印发</w:t>
      </w:r>
    </w:p>
    <w:sectPr>
      <w:pgSz w:w="11900" w:h="16840"/>
      <w:pgMar w:top="1440" w:right="1701" w:bottom="1440" w:left="170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jI2NzBiODYzMzQxZGU0ZmYyMjRjNmM5Y2NlMTYifQ=="/>
    <w:docVar w:name="KSO_WPS_MARK_KEY" w:val="d3a9cb14-1c00-4001-9b9b-1d032cc0fddd"/>
  </w:docVars>
  <w:rsids>
    <w:rsidRoot w:val="78945E7C"/>
    <w:rsid w:val="00046971"/>
    <w:rsid w:val="00054BBB"/>
    <w:rsid w:val="00060E48"/>
    <w:rsid w:val="0008673B"/>
    <w:rsid w:val="00086B7D"/>
    <w:rsid w:val="000C1ED7"/>
    <w:rsid w:val="000F3524"/>
    <w:rsid w:val="00150815"/>
    <w:rsid w:val="00154E26"/>
    <w:rsid w:val="00156F99"/>
    <w:rsid w:val="001A248B"/>
    <w:rsid w:val="001B0F7A"/>
    <w:rsid w:val="001D220B"/>
    <w:rsid w:val="001E0463"/>
    <w:rsid w:val="001F1932"/>
    <w:rsid w:val="00201D98"/>
    <w:rsid w:val="00267092"/>
    <w:rsid w:val="002802C8"/>
    <w:rsid w:val="002834CB"/>
    <w:rsid w:val="00284E49"/>
    <w:rsid w:val="00285B81"/>
    <w:rsid w:val="00286FC7"/>
    <w:rsid w:val="00296DEB"/>
    <w:rsid w:val="002B3348"/>
    <w:rsid w:val="00303590"/>
    <w:rsid w:val="0031138B"/>
    <w:rsid w:val="00312812"/>
    <w:rsid w:val="00361CE9"/>
    <w:rsid w:val="003627EA"/>
    <w:rsid w:val="003909CD"/>
    <w:rsid w:val="00390F3D"/>
    <w:rsid w:val="00392091"/>
    <w:rsid w:val="00393EB2"/>
    <w:rsid w:val="003A0783"/>
    <w:rsid w:val="003B495F"/>
    <w:rsid w:val="003B7DF9"/>
    <w:rsid w:val="003E0990"/>
    <w:rsid w:val="00407249"/>
    <w:rsid w:val="00411084"/>
    <w:rsid w:val="00413265"/>
    <w:rsid w:val="0044501C"/>
    <w:rsid w:val="0045725B"/>
    <w:rsid w:val="00465566"/>
    <w:rsid w:val="0047575D"/>
    <w:rsid w:val="00475D9B"/>
    <w:rsid w:val="004C5024"/>
    <w:rsid w:val="004D0171"/>
    <w:rsid w:val="004F66E7"/>
    <w:rsid w:val="00533F39"/>
    <w:rsid w:val="00535FD5"/>
    <w:rsid w:val="005411C2"/>
    <w:rsid w:val="00542E73"/>
    <w:rsid w:val="005469C8"/>
    <w:rsid w:val="0057297E"/>
    <w:rsid w:val="0057793E"/>
    <w:rsid w:val="00587FF1"/>
    <w:rsid w:val="005A2205"/>
    <w:rsid w:val="005C6C92"/>
    <w:rsid w:val="005D34D6"/>
    <w:rsid w:val="005E3C8C"/>
    <w:rsid w:val="005F29C3"/>
    <w:rsid w:val="00615BA5"/>
    <w:rsid w:val="00623AE6"/>
    <w:rsid w:val="006377FA"/>
    <w:rsid w:val="00660E3A"/>
    <w:rsid w:val="006B001A"/>
    <w:rsid w:val="006C4D1C"/>
    <w:rsid w:val="006D6105"/>
    <w:rsid w:val="006D7DA6"/>
    <w:rsid w:val="006F074D"/>
    <w:rsid w:val="0071091B"/>
    <w:rsid w:val="007119B2"/>
    <w:rsid w:val="00736BDF"/>
    <w:rsid w:val="00743235"/>
    <w:rsid w:val="00747127"/>
    <w:rsid w:val="007803D9"/>
    <w:rsid w:val="00783636"/>
    <w:rsid w:val="007A4033"/>
    <w:rsid w:val="007D356D"/>
    <w:rsid w:val="00832823"/>
    <w:rsid w:val="00833035"/>
    <w:rsid w:val="00861AEE"/>
    <w:rsid w:val="00870C2F"/>
    <w:rsid w:val="00886C79"/>
    <w:rsid w:val="008C1A93"/>
    <w:rsid w:val="008C3F34"/>
    <w:rsid w:val="008D6BEE"/>
    <w:rsid w:val="008E51D0"/>
    <w:rsid w:val="00922586"/>
    <w:rsid w:val="00931677"/>
    <w:rsid w:val="00932369"/>
    <w:rsid w:val="00944B3C"/>
    <w:rsid w:val="0095345C"/>
    <w:rsid w:val="00960257"/>
    <w:rsid w:val="00962CB2"/>
    <w:rsid w:val="009746FE"/>
    <w:rsid w:val="00983E94"/>
    <w:rsid w:val="00992637"/>
    <w:rsid w:val="009931EB"/>
    <w:rsid w:val="009E0A2F"/>
    <w:rsid w:val="009E54D1"/>
    <w:rsid w:val="00A17982"/>
    <w:rsid w:val="00A24046"/>
    <w:rsid w:val="00A61D61"/>
    <w:rsid w:val="00AB3243"/>
    <w:rsid w:val="00AC23DE"/>
    <w:rsid w:val="00AE3A2C"/>
    <w:rsid w:val="00AE493D"/>
    <w:rsid w:val="00AF1646"/>
    <w:rsid w:val="00B02C7D"/>
    <w:rsid w:val="00B02DDA"/>
    <w:rsid w:val="00B12EC8"/>
    <w:rsid w:val="00B349D6"/>
    <w:rsid w:val="00B42BC0"/>
    <w:rsid w:val="00B53041"/>
    <w:rsid w:val="00B6778F"/>
    <w:rsid w:val="00B72348"/>
    <w:rsid w:val="00B77C1C"/>
    <w:rsid w:val="00B77E04"/>
    <w:rsid w:val="00B857DE"/>
    <w:rsid w:val="00BA5157"/>
    <w:rsid w:val="00BA5EE9"/>
    <w:rsid w:val="00BB032C"/>
    <w:rsid w:val="00BB7D75"/>
    <w:rsid w:val="00C0183B"/>
    <w:rsid w:val="00C33756"/>
    <w:rsid w:val="00C723E5"/>
    <w:rsid w:val="00CD2552"/>
    <w:rsid w:val="00CE4D26"/>
    <w:rsid w:val="00D32763"/>
    <w:rsid w:val="00D3794A"/>
    <w:rsid w:val="00D42107"/>
    <w:rsid w:val="00D91AB2"/>
    <w:rsid w:val="00DC6612"/>
    <w:rsid w:val="00DD5E97"/>
    <w:rsid w:val="00DD75E8"/>
    <w:rsid w:val="00DE1C29"/>
    <w:rsid w:val="00E3440D"/>
    <w:rsid w:val="00E5543D"/>
    <w:rsid w:val="00E709A1"/>
    <w:rsid w:val="00E843B6"/>
    <w:rsid w:val="00E93304"/>
    <w:rsid w:val="00E95EB5"/>
    <w:rsid w:val="00EA2EFE"/>
    <w:rsid w:val="00EC2682"/>
    <w:rsid w:val="00ED0F28"/>
    <w:rsid w:val="00ED529E"/>
    <w:rsid w:val="00EE36C8"/>
    <w:rsid w:val="00F423F2"/>
    <w:rsid w:val="00F46A99"/>
    <w:rsid w:val="00F73515"/>
    <w:rsid w:val="00F97890"/>
    <w:rsid w:val="00FD5613"/>
    <w:rsid w:val="0163383C"/>
    <w:rsid w:val="09B6000D"/>
    <w:rsid w:val="0CAC19C9"/>
    <w:rsid w:val="0CC47EE3"/>
    <w:rsid w:val="15316332"/>
    <w:rsid w:val="15F2254B"/>
    <w:rsid w:val="17DB0706"/>
    <w:rsid w:val="1D3E4DF8"/>
    <w:rsid w:val="1E3B28DA"/>
    <w:rsid w:val="20892298"/>
    <w:rsid w:val="209B0B03"/>
    <w:rsid w:val="218D4868"/>
    <w:rsid w:val="26203D6D"/>
    <w:rsid w:val="28A25822"/>
    <w:rsid w:val="2C874F76"/>
    <w:rsid w:val="2D340315"/>
    <w:rsid w:val="31FC4954"/>
    <w:rsid w:val="33C87EE3"/>
    <w:rsid w:val="35154ED0"/>
    <w:rsid w:val="3B381919"/>
    <w:rsid w:val="3BD456E9"/>
    <w:rsid w:val="47DC1FA5"/>
    <w:rsid w:val="4893730A"/>
    <w:rsid w:val="547B1DAF"/>
    <w:rsid w:val="54E81862"/>
    <w:rsid w:val="55F65EF0"/>
    <w:rsid w:val="643101E7"/>
    <w:rsid w:val="6EC21B4A"/>
    <w:rsid w:val="70F45713"/>
    <w:rsid w:val="7434067F"/>
    <w:rsid w:val="76B529DA"/>
    <w:rsid w:val="77C74EAF"/>
    <w:rsid w:val="78945E7C"/>
    <w:rsid w:val="795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 w:right="112" w:hanging="20"/>
      <w:outlineLvl w:val="0"/>
    </w:pPr>
    <w:rPr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_a065c554-a977-4c0a-91e0-419c003954a9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14">
    <w:name w:val="页眉 字符"/>
    <w:basedOn w:val="9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187E9-BBA7-4831-862C-E44C10867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</Words>
  <Characters>1291</Characters>
  <Lines>10</Lines>
  <Paragraphs>3</Paragraphs>
  <TotalTime>3</TotalTime>
  <ScaleCrop>false</ScaleCrop>
  <LinksUpToDate>false</LinksUpToDate>
  <CharactersWithSpaces>1514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2023-09-06T05:20:00Z</dcterms:created>
  <dc:creator>Administrator</dc:creator>
  <cp:lastModifiedBy>HD</cp:lastModifiedBy>
  <cp:lastPrinted>2023-02-21T04:04:00Z</cp:lastPrinted>
  <dcterms:modified xsi:type="dcterms:W3CDTF">2024-04-26T02:35:47Z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CD14F6A5A8E44C729C37FCA9DD7F9B31</vt:lpwstr>
  </property>
</Properties>
</file>