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0" w:after="60" w:line="280" w:lineRule="exact"/>
        <w:outlineLvl w:val="0"/>
        <w:rPr>
          <w:rFonts w:hint="eastAsia" w:ascii="等线 Light" w:hAnsi="等线 Light" w:eastAsia="等线" w:cs="Times New Roman"/>
          <w:b/>
          <w:bCs/>
          <w:w w:val="77"/>
          <w:sz w:val="32"/>
          <w:szCs w:val="32"/>
        </w:rPr>
      </w:pPr>
      <w:bookmarkStart w:id="0" w:name="OLE_LINK70"/>
      <w:bookmarkStart w:id="1" w:name="OLE_LINK78"/>
      <w:bookmarkStart w:id="2" w:name="OLE_LINK53"/>
      <w:bookmarkStart w:id="3" w:name="OLE_LINK54"/>
      <w:bookmarkStart w:id="4" w:name="OLE_LINK88"/>
      <w:bookmarkStart w:id="5" w:name="OLE_LINK44"/>
    </w:p>
    <w:bookmarkEnd w:id="0"/>
    <w:bookmarkEnd w:id="1"/>
    <w:bookmarkEnd w:id="2"/>
    <w:bookmarkEnd w:id="3"/>
    <w:bookmarkEnd w:id="4"/>
    <w:bookmarkEnd w:id="5"/>
    <w:p>
      <w:pPr>
        <w:spacing w:line="520" w:lineRule="exact"/>
        <w:jc w:val="center"/>
        <w:rPr>
          <w:rFonts w:ascii="方正小标宋简体" w:hAnsi="黑体" w:eastAsia="方正小标宋简体" w:cs="Times New Roman"/>
          <w:sz w:val="44"/>
          <w:szCs w:val="44"/>
        </w:rPr>
      </w:pP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附件1</w:t>
      </w: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</w:rPr>
      </w:pPr>
      <w:r>
        <w:rPr>
          <w:rFonts w:hint="eastAsia" w:ascii="方正小标宋简体" w:hAnsi="黑体" w:eastAsia="方正小标宋简体"/>
          <w:sz w:val="44"/>
          <w:szCs w:val="44"/>
        </w:rPr>
        <w:t>名额分配表</w:t>
      </w:r>
    </w:p>
    <w:tbl>
      <w:tblPr>
        <w:tblStyle w:val="5"/>
        <w:tblW w:w="91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710"/>
        <w:gridCol w:w="992"/>
        <w:gridCol w:w="966"/>
        <w:gridCol w:w="781"/>
        <w:gridCol w:w="709"/>
        <w:gridCol w:w="708"/>
        <w:gridCol w:w="709"/>
        <w:gridCol w:w="851"/>
        <w:gridCol w:w="708"/>
        <w:gridCol w:w="709"/>
        <w:gridCol w:w="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56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序号</w:t>
            </w:r>
          </w:p>
        </w:tc>
        <w:tc>
          <w:tcPr>
            <w:tcW w:w="71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市</w:t>
            </w:r>
          </w:p>
        </w:tc>
        <w:tc>
          <w:tcPr>
            <w:tcW w:w="1958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读书征文</w:t>
            </w:r>
          </w:p>
        </w:tc>
        <w:tc>
          <w:tcPr>
            <w:tcW w:w="78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阅读</w:t>
            </w:r>
          </w:p>
          <w:p>
            <w:pPr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  <w:highlight w:val="none"/>
              </w:rPr>
              <w:t>精品</w:t>
            </w:r>
            <w:r>
              <w:rPr>
                <w:rFonts w:hint="eastAsia" w:ascii="黑体" w:hAnsi="黑体" w:eastAsia="黑体"/>
                <w:sz w:val="24"/>
                <w:szCs w:val="24"/>
              </w:rPr>
              <w:t>课</w:t>
            </w:r>
          </w:p>
        </w:tc>
        <w:tc>
          <w:tcPr>
            <w:tcW w:w="2126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书香校园案例</w:t>
            </w:r>
          </w:p>
        </w:tc>
        <w:tc>
          <w:tcPr>
            <w:tcW w:w="85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好书</w:t>
            </w:r>
          </w:p>
          <w:p>
            <w:pPr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推荐</w:t>
            </w:r>
          </w:p>
        </w:tc>
        <w:tc>
          <w:tcPr>
            <w:tcW w:w="2126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阅读空间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56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学生组</w:t>
            </w:r>
          </w:p>
        </w:tc>
        <w:tc>
          <w:tcPr>
            <w:tcW w:w="966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教师组</w:t>
            </w:r>
          </w:p>
        </w:tc>
        <w:tc>
          <w:tcPr>
            <w:tcW w:w="78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小学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初中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高中</w:t>
            </w:r>
          </w:p>
        </w:tc>
        <w:tc>
          <w:tcPr>
            <w:tcW w:w="85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小学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初中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高中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56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篇</w:t>
            </w:r>
          </w:p>
        </w:tc>
        <w:tc>
          <w:tcPr>
            <w:tcW w:w="966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篇</w:t>
            </w:r>
          </w:p>
        </w:tc>
        <w:tc>
          <w:tcPr>
            <w:tcW w:w="781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节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个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个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个</w:t>
            </w:r>
          </w:p>
        </w:tc>
        <w:tc>
          <w:tcPr>
            <w:tcW w:w="851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册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个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个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杭州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60</w:t>
            </w:r>
          </w:p>
        </w:tc>
        <w:tc>
          <w:tcPr>
            <w:tcW w:w="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3</w:t>
            </w:r>
            <w:r>
              <w:rPr>
                <w:rFonts w:ascii="仿宋_GB2312" w:hAnsi="宋体" w:eastAsia="仿宋_GB2312"/>
                <w:sz w:val="24"/>
                <w:szCs w:val="24"/>
              </w:rPr>
              <w:t>6</w:t>
            </w:r>
          </w:p>
        </w:tc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1</w:t>
            </w:r>
            <w:r>
              <w:rPr>
                <w:rFonts w:ascii="仿宋_GB2312" w:hAnsi="宋体" w:eastAsia="仿宋_GB2312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不限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1</w:t>
            </w:r>
            <w:r>
              <w:rPr>
                <w:rFonts w:ascii="仿宋_GB2312" w:hAnsi="宋体" w:eastAsia="仿宋_GB2312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宁波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60</w:t>
            </w:r>
          </w:p>
        </w:tc>
        <w:tc>
          <w:tcPr>
            <w:tcW w:w="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3</w:t>
            </w:r>
            <w:r>
              <w:rPr>
                <w:rFonts w:ascii="仿宋_GB2312" w:hAnsi="宋体" w:eastAsia="仿宋_GB2312"/>
                <w:sz w:val="24"/>
                <w:szCs w:val="24"/>
              </w:rPr>
              <w:t>6</w:t>
            </w:r>
          </w:p>
        </w:tc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1</w:t>
            </w:r>
            <w:r>
              <w:rPr>
                <w:rFonts w:ascii="仿宋_GB2312" w:hAnsi="宋体" w:eastAsia="仿宋_GB2312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不限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1</w:t>
            </w:r>
            <w:r>
              <w:rPr>
                <w:rFonts w:ascii="仿宋_GB2312" w:hAnsi="宋体" w:eastAsia="仿宋_GB2312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温州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55</w:t>
            </w:r>
          </w:p>
        </w:tc>
        <w:tc>
          <w:tcPr>
            <w:tcW w:w="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3</w:t>
            </w:r>
            <w:r>
              <w:rPr>
                <w:rFonts w:ascii="仿宋_GB2312" w:hAnsi="宋体" w:eastAsia="仿宋_GB2312"/>
                <w:sz w:val="24"/>
                <w:szCs w:val="24"/>
              </w:rPr>
              <w:t>3</w:t>
            </w:r>
          </w:p>
        </w:tc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1</w:t>
            </w:r>
            <w:r>
              <w:rPr>
                <w:rFonts w:ascii="仿宋_GB2312" w:hAnsi="宋体" w:eastAsia="仿宋_GB2312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11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不限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1</w:t>
            </w:r>
            <w:r>
              <w:rPr>
                <w:rFonts w:ascii="仿宋_GB2312" w:hAnsi="宋体" w:eastAsia="仿宋_GB2312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5</w:t>
            </w:r>
          </w:p>
        </w:tc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湖州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35</w:t>
            </w:r>
          </w:p>
        </w:tc>
        <w:tc>
          <w:tcPr>
            <w:tcW w:w="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2</w:t>
            </w:r>
            <w:r>
              <w:rPr>
                <w:rFonts w:ascii="仿宋_GB2312" w:hAnsi="宋体" w:eastAsia="仿宋_GB2312"/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不限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嘉兴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45</w:t>
            </w:r>
          </w:p>
        </w:tc>
        <w:tc>
          <w:tcPr>
            <w:tcW w:w="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2</w:t>
            </w:r>
            <w:r>
              <w:rPr>
                <w:rFonts w:ascii="仿宋_GB2312" w:hAnsi="宋体" w:eastAsia="仿宋_GB2312"/>
                <w:sz w:val="24"/>
                <w:szCs w:val="24"/>
              </w:rPr>
              <w:t>7</w:t>
            </w:r>
          </w:p>
        </w:tc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不限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6</w:t>
            </w:r>
          </w:p>
        </w:tc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绍兴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50</w:t>
            </w:r>
          </w:p>
        </w:tc>
        <w:tc>
          <w:tcPr>
            <w:tcW w:w="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30</w:t>
            </w:r>
          </w:p>
        </w:tc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1</w:t>
            </w:r>
            <w:r>
              <w:rPr>
                <w:rFonts w:ascii="仿宋_GB2312" w:hAnsi="宋体" w:eastAsia="仿宋_GB2312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不限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1</w:t>
            </w:r>
            <w:r>
              <w:rPr>
                <w:rFonts w:ascii="仿宋_GB2312" w:hAnsi="宋体" w:eastAsia="仿宋_GB2312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7</w:t>
            </w:r>
          </w:p>
        </w:tc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金华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50</w:t>
            </w:r>
          </w:p>
        </w:tc>
        <w:tc>
          <w:tcPr>
            <w:tcW w:w="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30</w:t>
            </w:r>
          </w:p>
        </w:tc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1</w:t>
            </w:r>
            <w:r>
              <w:rPr>
                <w:rFonts w:ascii="仿宋_GB2312" w:hAnsi="宋体" w:eastAsia="仿宋_GB2312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不限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1</w:t>
            </w:r>
            <w:r>
              <w:rPr>
                <w:rFonts w:ascii="仿宋_GB2312" w:hAnsi="宋体" w:eastAsia="仿宋_GB2312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8</w:t>
            </w:r>
          </w:p>
        </w:tc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衢州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35</w:t>
            </w:r>
          </w:p>
        </w:tc>
        <w:tc>
          <w:tcPr>
            <w:tcW w:w="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21</w:t>
            </w:r>
          </w:p>
        </w:tc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不限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9</w:t>
            </w:r>
          </w:p>
        </w:tc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舟山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30</w:t>
            </w:r>
          </w:p>
        </w:tc>
        <w:tc>
          <w:tcPr>
            <w:tcW w:w="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18</w:t>
            </w:r>
          </w:p>
        </w:tc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不限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10</w:t>
            </w:r>
          </w:p>
        </w:tc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台州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45</w:t>
            </w:r>
          </w:p>
        </w:tc>
        <w:tc>
          <w:tcPr>
            <w:tcW w:w="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27</w:t>
            </w:r>
          </w:p>
        </w:tc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不限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11</w:t>
            </w:r>
          </w:p>
        </w:tc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丽水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35</w:t>
            </w:r>
          </w:p>
        </w:tc>
        <w:tc>
          <w:tcPr>
            <w:tcW w:w="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21</w:t>
            </w:r>
          </w:p>
        </w:tc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不限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合计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500</w:t>
            </w:r>
          </w:p>
        </w:tc>
        <w:tc>
          <w:tcPr>
            <w:tcW w:w="9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3</w:t>
            </w:r>
            <w:r>
              <w:rPr>
                <w:rFonts w:hint="eastAsia" w:ascii="仿宋_GB2312" w:hAnsi="宋体" w:eastAsia="仿宋_GB2312"/>
                <w:sz w:val="24"/>
                <w:szCs w:val="24"/>
              </w:rPr>
              <w:t>00</w:t>
            </w:r>
          </w:p>
        </w:tc>
        <w:tc>
          <w:tcPr>
            <w:tcW w:w="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1</w:t>
            </w:r>
            <w:r>
              <w:rPr>
                <w:rFonts w:ascii="仿宋_GB2312" w:hAnsi="宋体" w:eastAsia="仿宋_GB2312"/>
                <w:sz w:val="24"/>
                <w:szCs w:val="24"/>
              </w:rPr>
              <w:t>00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1</w:t>
            </w:r>
            <w:r>
              <w:rPr>
                <w:rFonts w:ascii="仿宋_GB2312" w:hAnsi="宋体" w:eastAsia="仿宋_GB2312"/>
                <w:sz w:val="24"/>
                <w:szCs w:val="24"/>
              </w:rPr>
              <w:t>00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40</w:t>
            </w:r>
          </w:p>
        </w:tc>
      </w:tr>
    </w:tbl>
    <w:p>
      <w:pPr>
        <w:spacing w:line="560" w:lineRule="exact"/>
        <w:rPr>
          <w:rFonts w:ascii="方正小标宋简体" w:hAnsi="黑体" w:eastAsia="方正小标宋简体"/>
          <w:sz w:val="32"/>
          <w:szCs w:val="32"/>
        </w:rPr>
      </w:pPr>
    </w:p>
    <w:p>
      <w:pPr>
        <w:spacing w:line="560" w:lineRule="exact"/>
        <w:rPr>
          <w:rFonts w:ascii="方正小标宋简体" w:hAnsi="黑体" w:eastAsia="方正小标宋简体"/>
          <w:sz w:val="32"/>
          <w:szCs w:val="32"/>
        </w:rPr>
      </w:pPr>
    </w:p>
    <w:p>
      <w:pPr>
        <w:spacing w:line="560" w:lineRule="exact"/>
        <w:rPr>
          <w:rFonts w:hint="eastAsia" w:ascii="方正小标宋简体" w:hAnsi="黑体" w:eastAsia="方正小标宋简体"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ascii="黑体" w:hAnsi="黑体" w:eastAsia="黑体"/>
          <w:sz w:val="32"/>
          <w:szCs w:val="32"/>
        </w:rPr>
        <w:t>2</w:t>
      </w:r>
    </w:p>
    <w:p>
      <w:pPr>
        <w:spacing w:line="560" w:lineRule="exact"/>
        <w:jc w:val="left"/>
        <w:rPr>
          <w:rFonts w:hint="eastAsia" w:ascii="黑体" w:hAnsi="黑体" w:eastAsia="黑体"/>
          <w:sz w:val="32"/>
          <w:szCs w:val="32"/>
        </w:rPr>
      </w:pPr>
    </w:p>
    <w:p>
      <w:pPr>
        <w:spacing w:line="560" w:lineRule="exact"/>
        <w:jc w:val="center"/>
        <w:rPr>
          <w:rFonts w:ascii="方正小标宋简体" w:hAnsi="黑体" w:eastAsia="方正小标宋简体"/>
          <w:sz w:val="44"/>
          <w:szCs w:val="44"/>
        </w:rPr>
      </w:pPr>
      <w:r>
        <w:rPr>
          <w:rFonts w:hint="eastAsia" w:ascii="方正小标宋简体" w:hAnsi="黑体" w:eastAsia="方正小标宋简体"/>
          <w:sz w:val="44"/>
          <w:szCs w:val="44"/>
        </w:rPr>
        <w:t>项目汇总表</w:t>
      </w:r>
    </w:p>
    <w:p>
      <w:pPr>
        <w:rPr>
          <w:rFonts w:ascii="仿宋_GB2312" w:hAnsi="宋体" w:eastAsia="仿宋_GB2312"/>
          <w:sz w:val="32"/>
          <w:szCs w:val="32"/>
        </w:rPr>
      </w:pPr>
    </w:p>
    <w:p>
      <w:pPr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设区市：</w:t>
      </w:r>
      <w:r>
        <w:rPr>
          <w:rFonts w:ascii="仿宋_GB2312" w:hAnsi="宋体" w:eastAsia="仿宋_GB2312"/>
          <w:sz w:val="32"/>
          <w:szCs w:val="32"/>
          <w:u w:val="single"/>
        </w:rPr>
        <w:t xml:space="preserve">           </w:t>
      </w:r>
      <w:r>
        <w:rPr>
          <w:rFonts w:ascii="仿宋_GB2312" w:hAnsi="宋体" w:eastAsia="仿宋_GB2312"/>
          <w:sz w:val="32"/>
          <w:szCs w:val="32"/>
        </w:rPr>
        <w:t xml:space="preserve">               </w:t>
      </w:r>
      <w:r>
        <w:rPr>
          <w:rFonts w:hint="eastAsia" w:ascii="仿宋_GB2312" w:hAnsi="宋体" w:eastAsia="仿宋_GB2312"/>
          <w:sz w:val="32"/>
          <w:szCs w:val="32"/>
        </w:rPr>
        <w:t>填表人：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</w:t>
      </w:r>
      <w:r>
        <w:rPr>
          <w:rFonts w:ascii="仿宋_GB2312" w:hAnsi="宋体" w:eastAsia="仿宋_GB2312"/>
          <w:sz w:val="32"/>
          <w:szCs w:val="32"/>
          <w:u w:val="single"/>
        </w:rPr>
        <w:t xml:space="preserve">              </w:t>
      </w:r>
      <w:r>
        <w:rPr>
          <w:rFonts w:ascii="仿宋_GB2312" w:hAnsi="宋体" w:eastAsia="仿宋_GB2312"/>
          <w:sz w:val="32"/>
          <w:szCs w:val="32"/>
        </w:rPr>
        <w:t xml:space="preserve">      </w:t>
      </w:r>
      <w:r>
        <w:rPr>
          <w:rFonts w:hint="eastAsia" w:ascii="仿宋_GB2312" w:hAnsi="宋体" w:eastAsia="仿宋_GB2312"/>
          <w:sz w:val="32"/>
          <w:szCs w:val="32"/>
        </w:rPr>
        <w:t>联系电话：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</w:t>
      </w:r>
      <w:r>
        <w:rPr>
          <w:rFonts w:ascii="仿宋_GB2312" w:hAnsi="宋体" w:eastAsia="仿宋_GB2312"/>
          <w:sz w:val="32"/>
          <w:szCs w:val="32"/>
          <w:u w:val="single"/>
        </w:rPr>
        <w:t xml:space="preserve">             </w:t>
      </w:r>
    </w:p>
    <w:tbl>
      <w:tblPr>
        <w:tblStyle w:val="5"/>
        <w:tblW w:w="139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979"/>
        <w:gridCol w:w="1378"/>
        <w:gridCol w:w="3330"/>
        <w:gridCol w:w="3210"/>
        <w:gridCol w:w="1350"/>
        <w:gridCol w:w="1965"/>
        <w:gridCol w:w="10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9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28"/>
                <w:szCs w:val="28"/>
              </w:rPr>
              <w:t>序号</w:t>
            </w:r>
          </w:p>
        </w:tc>
        <w:tc>
          <w:tcPr>
            <w:tcW w:w="979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8"/>
                <w:szCs w:val="28"/>
              </w:rPr>
            </w:pPr>
            <w:r>
              <w:rPr>
                <w:rFonts w:hint="eastAsia" w:ascii="黑体" w:hAnsi="黑体" w:eastAsia="黑体"/>
                <w:sz w:val="28"/>
                <w:szCs w:val="28"/>
              </w:rPr>
              <w:t>作品分类</w:t>
            </w:r>
          </w:p>
        </w:tc>
        <w:tc>
          <w:tcPr>
            <w:tcW w:w="1378" w:type="dxa"/>
            <w:noWrap w:val="0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黑体" w:hAnsi="黑体" w:eastAsia="黑体"/>
                <w:sz w:val="28"/>
                <w:szCs w:val="28"/>
              </w:rPr>
              <w:t>县</w:t>
            </w:r>
          </w:p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Cs w:val="21"/>
              </w:rPr>
              <w:t>（区、市）</w:t>
            </w:r>
          </w:p>
        </w:tc>
        <w:tc>
          <w:tcPr>
            <w:tcW w:w="3330" w:type="dxa"/>
            <w:noWrap w:val="0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黑体" w:hAnsi="黑体" w:eastAsia="黑体"/>
                <w:sz w:val="28"/>
                <w:szCs w:val="28"/>
              </w:rPr>
              <w:t>单位</w:t>
            </w:r>
          </w:p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Cs w:val="21"/>
              </w:rPr>
              <w:t>（公章一致）</w:t>
            </w:r>
          </w:p>
        </w:tc>
        <w:tc>
          <w:tcPr>
            <w:tcW w:w="3210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28"/>
                <w:szCs w:val="28"/>
              </w:rPr>
              <w:t>作品名称</w:t>
            </w:r>
          </w:p>
        </w:tc>
        <w:tc>
          <w:tcPr>
            <w:tcW w:w="1350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28"/>
                <w:szCs w:val="28"/>
              </w:rPr>
              <w:t>作者</w:t>
            </w:r>
          </w:p>
        </w:tc>
        <w:tc>
          <w:tcPr>
            <w:tcW w:w="1965" w:type="dxa"/>
            <w:noWrap w:val="0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黑体" w:hAnsi="黑体" w:eastAsia="黑体"/>
                <w:sz w:val="28"/>
                <w:szCs w:val="28"/>
              </w:rPr>
              <w:t>指导</w:t>
            </w:r>
          </w:p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28"/>
                <w:szCs w:val="28"/>
              </w:rPr>
              <w:t>教师</w:t>
            </w:r>
          </w:p>
        </w:tc>
        <w:tc>
          <w:tcPr>
            <w:tcW w:w="1011" w:type="dxa"/>
            <w:noWrap w:val="0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黑体" w:hAnsi="黑体" w:eastAsia="黑体"/>
                <w:sz w:val="28"/>
                <w:szCs w:val="28"/>
              </w:rPr>
              <w:t>项目类别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709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1</w:t>
            </w:r>
          </w:p>
        </w:tc>
        <w:tc>
          <w:tcPr>
            <w:tcW w:w="979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读书征文</w:t>
            </w:r>
          </w:p>
        </w:tc>
        <w:tc>
          <w:tcPr>
            <w:tcW w:w="1378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3330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3210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32"/>
                <w:szCs w:val="32"/>
              </w:rPr>
            </w:pPr>
          </w:p>
        </w:tc>
        <w:tc>
          <w:tcPr>
            <w:tcW w:w="1350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96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sz w:val="32"/>
                <w:szCs w:val="32"/>
              </w:rPr>
              <w:t>/</w:t>
            </w:r>
          </w:p>
        </w:tc>
        <w:tc>
          <w:tcPr>
            <w:tcW w:w="1011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教师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9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2</w:t>
            </w:r>
          </w:p>
        </w:tc>
        <w:tc>
          <w:tcPr>
            <w:tcW w:w="979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18"/>
                <w:szCs w:val="18"/>
              </w:rPr>
            </w:pPr>
          </w:p>
        </w:tc>
        <w:tc>
          <w:tcPr>
            <w:tcW w:w="1378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3330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321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32"/>
                <w:szCs w:val="32"/>
              </w:rPr>
            </w:pPr>
          </w:p>
        </w:tc>
        <w:tc>
          <w:tcPr>
            <w:tcW w:w="1350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96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32"/>
                <w:szCs w:val="32"/>
              </w:rPr>
            </w:pPr>
          </w:p>
        </w:tc>
        <w:tc>
          <w:tcPr>
            <w:tcW w:w="1011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学生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9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3</w:t>
            </w:r>
          </w:p>
        </w:tc>
        <w:tc>
          <w:tcPr>
            <w:tcW w:w="979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阅读微课</w:t>
            </w:r>
          </w:p>
        </w:tc>
        <w:tc>
          <w:tcPr>
            <w:tcW w:w="1378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3330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321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32"/>
                <w:szCs w:val="32"/>
              </w:rPr>
            </w:pPr>
          </w:p>
        </w:tc>
        <w:tc>
          <w:tcPr>
            <w:tcW w:w="1350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96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32"/>
                <w:szCs w:val="32"/>
              </w:rPr>
            </w:pPr>
          </w:p>
        </w:tc>
        <w:tc>
          <w:tcPr>
            <w:tcW w:w="1011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教师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9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4</w:t>
            </w:r>
          </w:p>
        </w:tc>
        <w:tc>
          <w:tcPr>
            <w:tcW w:w="979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书香校园案例</w:t>
            </w:r>
          </w:p>
        </w:tc>
        <w:tc>
          <w:tcPr>
            <w:tcW w:w="1378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3330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321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案例名称</w:t>
            </w:r>
          </w:p>
        </w:tc>
        <w:tc>
          <w:tcPr>
            <w:tcW w:w="1350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负责人</w:t>
            </w:r>
          </w:p>
        </w:tc>
        <w:tc>
          <w:tcPr>
            <w:tcW w:w="1965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成员</w:t>
            </w:r>
          </w:p>
        </w:tc>
        <w:tc>
          <w:tcPr>
            <w:tcW w:w="1011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学校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9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5</w:t>
            </w:r>
          </w:p>
        </w:tc>
        <w:tc>
          <w:tcPr>
            <w:tcW w:w="979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阅读空间</w:t>
            </w:r>
          </w:p>
        </w:tc>
        <w:tc>
          <w:tcPr>
            <w:tcW w:w="1378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3330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3210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空间名称</w:t>
            </w:r>
          </w:p>
        </w:tc>
        <w:tc>
          <w:tcPr>
            <w:tcW w:w="1350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负责人</w:t>
            </w:r>
          </w:p>
        </w:tc>
        <w:tc>
          <w:tcPr>
            <w:tcW w:w="1965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成员</w:t>
            </w:r>
          </w:p>
        </w:tc>
        <w:tc>
          <w:tcPr>
            <w:tcW w:w="1011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学校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9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6</w:t>
            </w:r>
          </w:p>
        </w:tc>
        <w:tc>
          <w:tcPr>
            <w:tcW w:w="979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18"/>
                <w:szCs w:val="18"/>
              </w:rPr>
            </w:pPr>
          </w:p>
        </w:tc>
        <w:tc>
          <w:tcPr>
            <w:tcW w:w="1378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3330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321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32"/>
                <w:szCs w:val="32"/>
              </w:rPr>
            </w:pPr>
          </w:p>
        </w:tc>
        <w:tc>
          <w:tcPr>
            <w:tcW w:w="1350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965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011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9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7</w:t>
            </w:r>
          </w:p>
        </w:tc>
        <w:tc>
          <w:tcPr>
            <w:tcW w:w="979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……</w:t>
            </w:r>
          </w:p>
        </w:tc>
        <w:tc>
          <w:tcPr>
            <w:tcW w:w="1378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3330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3210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仿宋_GB2312" w:hAnsi="宋体" w:eastAsia="仿宋_GB2312"/>
                <w:sz w:val="32"/>
                <w:szCs w:val="32"/>
              </w:rPr>
            </w:pPr>
          </w:p>
        </w:tc>
        <w:tc>
          <w:tcPr>
            <w:tcW w:w="1350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965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</w:p>
        </w:tc>
        <w:tc>
          <w:tcPr>
            <w:tcW w:w="1011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32"/>
                <w:szCs w:val="32"/>
              </w:rPr>
            </w:pPr>
          </w:p>
        </w:tc>
      </w:tr>
    </w:tbl>
    <w:p>
      <w:pPr>
        <w:ind w:firstLine="0" w:firstLineChars="0"/>
        <w:jc w:val="left"/>
        <w:rPr>
          <w:rFonts w:ascii="仿宋_GB2312" w:hAnsi="宋体" w:eastAsia="仿宋_GB2312"/>
          <w:szCs w:val="21"/>
        </w:rPr>
        <w:sectPr>
          <w:pgSz w:w="16838" w:h="11906" w:orient="landscape"/>
          <w:pgMar w:top="1797" w:right="1440" w:bottom="1797" w:left="1440" w:header="851" w:footer="992" w:gutter="0"/>
          <w:pgNumType w:fmt="numberInDash"/>
          <w:cols w:space="720" w:num="1"/>
          <w:docGrid w:type="linesAndChars" w:linePitch="312" w:charSpace="0"/>
        </w:sectPr>
      </w:pP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  <w:bookmarkStart w:id="6" w:name="OLE_LINK22"/>
      <w:bookmarkStart w:id="7" w:name="OLE_LINK14"/>
      <w:bookmarkStart w:id="8" w:name="OLE_LINK21"/>
      <w:bookmarkStart w:id="9" w:name="OLE_LINK15"/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ascii="黑体" w:hAnsi="黑体" w:eastAsia="黑体"/>
          <w:sz w:val="32"/>
          <w:szCs w:val="32"/>
        </w:rPr>
        <w:t>3</w:t>
      </w: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  <w:lang w:val="en-IE"/>
        </w:rPr>
      </w:pPr>
      <w:r>
        <w:rPr>
          <w:rFonts w:hint="eastAsia" w:ascii="方正小标宋简体" w:hAnsi="黑体" w:eastAsia="方正小标宋简体"/>
          <w:sz w:val="44"/>
          <w:szCs w:val="44"/>
          <w:lang w:val="en-IE"/>
        </w:rPr>
        <w:t>阅读空间申报报告文稿模板</w:t>
      </w:r>
    </w:p>
    <w:p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  <w:lang w:val="en-IE"/>
        </w:rPr>
      </w:pPr>
    </w:p>
    <w:p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  <w:lang w:val="en-IE"/>
        </w:rPr>
      </w:pPr>
      <w:r>
        <w:rPr>
          <w:rFonts w:hint="eastAsia" w:ascii="方正小标宋简体" w:hAnsi="黑体" w:eastAsia="方正小标宋简体"/>
          <w:sz w:val="44"/>
          <w:szCs w:val="44"/>
          <w:lang w:val="en-IE"/>
        </w:rPr>
        <w:t>标题：通用、简明、准确，方正小标宋简体，二号，居中</w:t>
      </w:r>
    </w:p>
    <w:p>
      <w:pPr>
        <w:spacing w:line="560" w:lineRule="exact"/>
        <w:rPr>
          <w:rFonts w:hint="eastAsia" w:ascii="方正小标宋简体" w:hAnsi="黑体" w:eastAsia="方正小标宋简体"/>
          <w:sz w:val="44"/>
          <w:szCs w:val="44"/>
          <w:lang w:val="en-IE"/>
        </w:rPr>
      </w:pPr>
    </w:p>
    <w:p>
      <w:pPr>
        <w:spacing w:line="480" w:lineRule="exact"/>
        <w:jc w:val="center"/>
        <w:rPr>
          <w:rFonts w:hint="eastAsia" w:ascii="楷体_GB2312" w:hAnsi="微软雅黑" w:eastAsia="楷体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</w:pPr>
      <w:r>
        <w:rPr>
          <w:rFonts w:hint="eastAsia" w:ascii="楷体_GB2312" w:hAnsi="微软雅黑" w:eastAsia="楷体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  <w:t>作者，单位：楷体_GB2312，三号，居中</w:t>
      </w:r>
    </w:p>
    <w:p>
      <w:pPr>
        <w:spacing w:line="480" w:lineRule="exact"/>
        <w:jc w:val="center"/>
        <w:rPr>
          <w:rFonts w:hint="eastAsia" w:ascii="楷体_GB2312" w:hAnsi="微软雅黑" w:eastAsia="楷体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黑体"/>
          <w:color w:val="000000"/>
          <w:kern w:val="0"/>
          <w:sz w:val="32"/>
          <w:szCs w:val="32"/>
          <w:shd w:val="clear" w:color="auto" w:fill="FFFFFF"/>
          <w:lang w:val="en-IE" w:bidi="ar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shd w:val="clear" w:color="auto" w:fill="FFFFFF"/>
          <w:lang w:val="en-IE" w:bidi="ar"/>
        </w:rPr>
        <w:t>一、场景摘要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微软雅黑" w:eastAsia="仿宋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</w:pPr>
      <w:r>
        <w:rPr>
          <w:rFonts w:hint="eastAsia" w:ascii="仿宋_GB2312" w:hAnsi="微软雅黑" w:eastAsia="仿宋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  <w:t>简要介绍场景的需求、建设方案、成效等内容，字数300字以内。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微软雅黑" w:eastAsia="仿宋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</w:pPr>
      <w:r>
        <w:rPr>
          <w:rFonts w:hint="eastAsia" w:ascii="仿宋_GB2312" w:hAnsi="微软雅黑" w:eastAsia="仿宋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  <w:t>正文 仿宋_GB2312，三号，首行缩进2字符，两端对齐。全文行距固定值28磅；英文内容统一采用Times New Roman字体；英文缩写正文中首次出现，应注明全称；正文中夹有英文单词时，普通单词、词组一律小写，专名首字母大写。</w:t>
      </w:r>
    </w:p>
    <w:p>
      <w:pPr>
        <w:spacing w:line="560" w:lineRule="exact"/>
        <w:ind w:firstLine="640" w:firstLineChars="200"/>
        <w:rPr>
          <w:rFonts w:hint="eastAsia" w:ascii="黑体" w:hAnsi="黑体" w:eastAsia="黑体" w:cs="黑体"/>
          <w:color w:val="000000"/>
          <w:kern w:val="0"/>
          <w:sz w:val="32"/>
          <w:szCs w:val="32"/>
          <w:shd w:val="clear" w:color="auto" w:fill="FFFFFF"/>
          <w:lang w:val="en-IE" w:bidi="ar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shd w:val="clear" w:color="auto" w:fill="FFFFFF"/>
          <w:lang w:val="en-IE" w:bidi="ar"/>
        </w:rPr>
        <w:t>二、需求分析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微软雅黑" w:eastAsia="仿宋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</w:pPr>
      <w:r>
        <w:rPr>
          <w:rFonts w:hint="eastAsia" w:ascii="仿宋_GB2312" w:hAnsi="微软雅黑" w:eastAsia="仿宋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  <w:t>从国家、学校和家长等视角出发，简要分析场景现存问题和需求，字数在500字以内。注：按需选择单个或多个分析视角。</w:t>
      </w:r>
    </w:p>
    <w:p>
      <w:pPr>
        <w:spacing w:line="560" w:lineRule="exact"/>
        <w:ind w:firstLine="640" w:firstLineChars="200"/>
        <w:jc w:val="left"/>
        <w:rPr>
          <w:rFonts w:hint="eastAsia" w:ascii="楷体_GB2312" w:hAnsi="微软雅黑" w:eastAsia="楷体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</w:pPr>
      <w:r>
        <w:rPr>
          <w:rFonts w:hint="eastAsia" w:ascii="楷体_GB2312" w:hAnsi="微软雅黑" w:eastAsia="楷体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  <w:t>（一）政府管理（楷体_GB2312，三号，两端对齐）</w:t>
      </w:r>
    </w:p>
    <w:p>
      <w:pPr>
        <w:spacing w:line="560" w:lineRule="exact"/>
        <w:ind w:firstLine="640" w:firstLineChars="200"/>
        <w:jc w:val="left"/>
        <w:rPr>
          <w:rFonts w:hint="eastAsia" w:ascii="楷体_GB2312" w:hAnsi="微软雅黑" w:eastAsia="楷体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</w:pPr>
      <w:r>
        <w:rPr>
          <w:rFonts w:hint="eastAsia" w:ascii="楷体_GB2312" w:hAnsi="微软雅黑" w:eastAsia="楷体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  <w:t>……</w:t>
      </w:r>
    </w:p>
    <w:p>
      <w:pPr>
        <w:spacing w:line="560" w:lineRule="exact"/>
        <w:ind w:firstLine="640" w:firstLineChars="200"/>
        <w:jc w:val="left"/>
        <w:rPr>
          <w:rFonts w:hint="eastAsia" w:ascii="楷体_GB2312" w:hAnsi="微软雅黑" w:eastAsia="楷体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</w:pPr>
      <w:r>
        <w:rPr>
          <w:rFonts w:hint="eastAsia" w:ascii="楷体_GB2312" w:hAnsi="微软雅黑" w:eastAsia="楷体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  <w:t>（二）学校管理</w:t>
      </w:r>
    </w:p>
    <w:p>
      <w:pPr>
        <w:spacing w:line="560" w:lineRule="exact"/>
        <w:ind w:firstLine="640" w:firstLineChars="200"/>
        <w:jc w:val="left"/>
        <w:rPr>
          <w:rFonts w:hint="eastAsia" w:ascii="楷体_GB2312" w:hAnsi="微软雅黑" w:eastAsia="楷体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</w:pPr>
      <w:r>
        <w:rPr>
          <w:rFonts w:hint="eastAsia" w:ascii="楷体_GB2312" w:hAnsi="微软雅黑" w:eastAsia="楷体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  <w:t>……</w:t>
      </w:r>
    </w:p>
    <w:p>
      <w:pPr>
        <w:spacing w:line="560" w:lineRule="exact"/>
        <w:ind w:firstLine="640" w:firstLineChars="200"/>
        <w:rPr>
          <w:rFonts w:hint="eastAsia" w:ascii="黑体" w:hAnsi="黑体" w:eastAsia="黑体" w:cs="黑体"/>
          <w:color w:val="000000"/>
          <w:kern w:val="0"/>
          <w:sz w:val="32"/>
          <w:szCs w:val="32"/>
          <w:shd w:val="clear" w:color="auto" w:fill="FFFFFF"/>
          <w:lang w:val="en-IE" w:bidi="ar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shd w:val="clear" w:color="auto" w:fill="FFFFFF"/>
          <w:lang w:val="en-IE" w:bidi="ar"/>
        </w:rPr>
        <w:t>三、场景描述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微软雅黑" w:eastAsia="仿宋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</w:pPr>
      <w:r>
        <w:rPr>
          <w:rFonts w:hint="eastAsia" w:ascii="仿宋_GB2312" w:hAnsi="微软雅黑" w:eastAsia="仿宋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  <w:t>详细描述建设方案、具体案例、建设成效以及建设反思等内容，字数3000字以内。</w:t>
      </w:r>
    </w:p>
    <w:p>
      <w:pPr>
        <w:spacing w:line="560" w:lineRule="exact"/>
        <w:ind w:firstLine="640" w:firstLineChars="200"/>
        <w:jc w:val="left"/>
        <w:rPr>
          <w:rFonts w:hint="eastAsia" w:ascii="楷体_GB2312" w:hAnsi="微软雅黑" w:eastAsia="楷体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</w:pPr>
      <w:r>
        <w:rPr>
          <w:rFonts w:hint="eastAsia" w:ascii="楷体_GB2312" w:hAnsi="微软雅黑" w:eastAsia="楷体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  <w:t>（一）建设方案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微软雅黑" w:eastAsia="仿宋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</w:pPr>
      <w:r>
        <w:rPr>
          <w:rFonts w:hint="eastAsia" w:ascii="仿宋_GB2312" w:hAnsi="微软雅黑" w:eastAsia="仿宋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  <w:t>聚焦场景中的1项建设内容[软件/平台/设备等]，以该项内容为技术主线进行方案阐述，字数1500字以内。</w:t>
      </w:r>
    </w:p>
    <w:p>
      <w:pPr>
        <w:spacing w:line="560" w:lineRule="exact"/>
        <w:ind w:firstLine="640" w:firstLineChars="200"/>
        <w:jc w:val="left"/>
        <w:rPr>
          <w:rFonts w:hint="eastAsia" w:ascii="楷体_GB2312" w:hAnsi="微软雅黑" w:eastAsia="楷体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</w:pPr>
      <w:r>
        <w:rPr>
          <w:rFonts w:hint="eastAsia" w:ascii="楷体_GB2312" w:hAnsi="微软雅黑" w:eastAsia="楷体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  <w:t>（二）应用成效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微软雅黑" w:eastAsia="仿宋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</w:pPr>
      <w:r>
        <w:rPr>
          <w:rFonts w:hint="eastAsia" w:ascii="仿宋_GB2312" w:hAnsi="微软雅黑" w:eastAsia="仿宋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  <w:t>描述场景数字化建设后对问题需求的实际解决效果，字数在500字以内。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微软雅黑" w:eastAsia="仿宋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</w:pPr>
      <w:r>
        <w:rPr>
          <w:rFonts w:hint="eastAsia" w:ascii="仿宋_GB2312" w:hAnsi="微软雅黑" w:eastAsia="仿宋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  <w:t>1. ……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微软雅黑" w:eastAsia="仿宋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</w:pPr>
      <w:r>
        <w:rPr>
          <w:rFonts w:hint="eastAsia" w:ascii="仿宋_GB2312" w:hAnsi="微软雅黑" w:eastAsia="仿宋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  <w:t>2. ……</w:t>
      </w:r>
    </w:p>
    <w:p>
      <w:pPr>
        <w:spacing w:line="560" w:lineRule="exact"/>
        <w:ind w:firstLine="640" w:firstLineChars="200"/>
        <w:jc w:val="left"/>
        <w:rPr>
          <w:rFonts w:hint="eastAsia" w:ascii="楷体_GB2312" w:hAnsi="微软雅黑" w:eastAsia="楷体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</w:pPr>
      <w:r>
        <w:rPr>
          <w:rFonts w:hint="eastAsia" w:ascii="楷体_GB2312" w:hAnsi="微软雅黑" w:eastAsia="楷体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  <w:t>（三）方案反思（可选）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微软雅黑" w:eastAsia="仿宋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</w:pPr>
      <w:r>
        <w:rPr>
          <w:rFonts w:hint="eastAsia" w:ascii="仿宋_GB2312" w:hAnsi="微软雅黑" w:eastAsia="仿宋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  <w:t>描述场景数字化建设过程、应用实践中遇到的困难问题以及解决思路，字数500字以内。</w:t>
      </w:r>
    </w:p>
    <w:p>
      <w:pPr>
        <w:spacing w:line="560" w:lineRule="exact"/>
        <w:ind w:firstLine="640" w:firstLineChars="200"/>
        <w:rPr>
          <w:rFonts w:hint="eastAsia" w:ascii="黑体" w:hAnsi="黑体" w:eastAsia="黑体" w:cs="黑体"/>
          <w:color w:val="000000"/>
          <w:kern w:val="0"/>
          <w:sz w:val="32"/>
          <w:szCs w:val="32"/>
          <w:shd w:val="clear" w:color="auto" w:fill="FFFFFF"/>
          <w:lang w:val="en-IE" w:bidi="ar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shd w:val="clear" w:color="auto" w:fill="FFFFFF"/>
          <w:lang w:val="en-IE" w:bidi="ar"/>
        </w:rPr>
        <w:t>四、软硬件基本配置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微软雅黑" w:eastAsia="仿宋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</w:pPr>
      <w:r>
        <w:rPr>
          <w:rFonts w:hint="eastAsia" w:ascii="仿宋_GB2312" w:hAnsi="微软雅黑" w:eastAsia="仿宋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  <w:t>描述场景数字化建设内容中主要配置及关键指标，字数500字以内。</w:t>
      </w:r>
    </w:p>
    <w:p>
      <w:pPr>
        <w:spacing w:line="560" w:lineRule="exact"/>
        <w:ind w:firstLine="640" w:firstLineChars="200"/>
        <w:rPr>
          <w:rFonts w:hint="eastAsia" w:ascii="黑体" w:hAnsi="黑体" w:eastAsia="黑体" w:cs="黑体"/>
          <w:color w:val="000000"/>
          <w:kern w:val="0"/>
          <w:sz w:val="32"/>
          <w:szCs w:val="32"/>
          <w:shd w:val="clear" w:color="auto" w:fill="FFFFFF"/>
          <w:lang w:val="en-IE" w:bidi="ar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shd w:val="clear" w:color="auto" w:fill="FFFFFF"/>
          <w:lang w:val="en-IE" w:bidi="ar"/>
        </w:rPr>
        <w:t>五、引用标准及关键数据共享（若有）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微软雅黑" w:eastAsia="仿宋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</w:pPr>
      <w:r>
        <w:rPr>
          <w:rFonts w:hint="eastAsia" w:ascii="仿宋_GB2312" w:hAnsi="微软雅黑" w:eastAsia="仿宋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  <w:t>描述场景数字化建设中引用的标准、产生的关键数据及其意义，字数200字以内。</w:t>
      </w:r>
    </w:p>
    <w:p>
      <w:pPr>
        <w:spacing w:line="560" w:lineRule="exact"/>
        <w:jc w:val="left"/>
        <w:rPr>
          <w:rFonts w:hint="eastAsia" w:ascii="楷体_GB2312" w:hAnsi="微软雅黑" w:eastAsia="楷体_GB2312" w:cs="仿宋_GB2312"/>
          <w:bCs/>
          <w:color w:val="000000"/>
          <w:kern w:val="0"/>
          <w:sz w:val="32"/>
          <w:szCs w:val="32"/>
          <w:shd w:val="clear" w:color="auto" w:fill="FFFFFF"/>
          <w:lang w:val="en-IE" w:bidi="ar"/>
        </w:rPr>
      </w:pPr>
    </w:p>
    <w:p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</w:rPr>
      </w:pP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</w:p>
    <w:p>
      <w:pPr>
        <w:spacing w:line="440" w:lineRule="exact"/>
        <w:jc w:val="left"/>
        <w:rPr>
          <w:rFonts w:ascii="黑体" w:hAnsi="黑体" w:eastAsia="黑体"/>
          <w:sz w:val="32"/>
          <w:szCs w:val="32"/>
        </w:rPr>
      </w:pPr>
    </w:p>
    <w:p>
      <w:pPr>
        <w:spacing w:line="440" w:lineRule="exact"/>
        <w:jc w:val="left"/>
        <w:rPr>
          <w:rFonts w:hint="eastAsia" w:ascii="黑体" w:hAnsi="黑体" w:eastAsia="黑体"/>
          <w:sz w:val="32"/>
          <w:szCs w:val="32"/>
        </w:rPr>
      </w:pPr>
    </w:p>
    <w:p>
      <w:pPr>
        <w:spacing w:line="440" w:lineRule="exact"/>
        <w:jc w:val="left"/>
        <w:rPr>
          <w:rFonts w:hint="eastAsia" w:ascii="方正小标宋简体" w:hAnsi="黑体" w:eastAsia="方正小标宋简体"/>
          <w:sz w:val="44"/>
          <w:szCs w:val="44"/>
          <w:lang w:val="en-IE"/>
        </w:rPr>
      </w:pPr>
      <w:bookmarkStart w:id="10" w:name="_GoBack"/>
      <w:bookmarkEnd w:id="10"/>
      <w:r>
        <w:rPr>
          <w:rFonts w:hint="eastAsia" w:ascii="黑体" w:hAnsi="黑体" w:eastAsia="黑体"/>
          <w:sz w:val="32"/>
          <w:szCs w:val="32"/>
        </w:rPr>
        <w:t>附件4</w:t>
      </w:r>
    </w:p>
    <w:p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</w:rPr>
      </w:pPr>
    </w:p>
    <w:p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</w:rPr>
      </w:pPr>
      <w:r>
        <w:rPr>
          <w:rFonts w:hint="eastAsia" w:ascii="方正小标宋简体" w:hAnsi="黑体" w:eastAsia="方正小标宋简体"/>
          <w:sz w:val="44"/>
          <w:szCs w:val="44"/>
        </w:rPr>
        <w:t>浙江省中小学阅读共同体学校实施评价</w:t>
      </w:r>
    </w:p>
    <w:p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</w:rPr>
      </w:pPr>
      <w:r>
        <w:rPr>
          <w:rFonts w:hint="eastAsia" w:ascii="方正小标宋简体" w:hAnsi="黑体" w:eastAsia="方正小标宋简体"/>
          <w:sz w:val="44"/>
          <w:szCs w:val="44"/>
        </w:rPr>
        <w:t>细则</w:t>
      </w:r>
    </w:p>
    <w:p>
      <w:pPr>
        <w:adjustRightInd w:val="0"/>
        <w:snapToGrid w:val="0"/>
        <w:spacing w:line="600" w:lineRule="exact"/>
        <w:jc w:val="center"/>
        <w:rPr>
          <w:rFonts w:hint="eastAsia" w:ascii="楷体_GB2312" w:hAnsi="方正小标宋简体" w:eastAsia="楷体_GB2312" w:cs="方正小标宋简体"/>
          <w:bCs/>
          <w:color w:val="000000"/>
          <w:sz w:val="32"/>
          <w:szCs w:val="32"/>
        </w:rPr>
      </w:pPr>
      <w:r>
        <w:rPr>
          <w:rFonts w:hint="eastAsia" w:ascii="楷体_GB2312" w:hAnsi="方正小标宋简体" w:eastAsia="楷体_GB2312" w:cs="方正小标宋简体"/>
          <w:bCs/>
          <w:color w:val="000000"/>
          <w:sz w:val="32"/>
          <w:szCs w:val="32"/>
        </w:rPr>
        <w:t>（试行）</w:t>
      </w:r>
    </w:p>
    <w:tbl>
      <w:tblPr>
        <w:tblStyle w:val="5"/>
        <w:tblW w:w="89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0"/>
        <w:gridCol w:w="1062"/>
        <w:gridCol w:w="4829"/>
        <w:gridCol w:w="567"/>
        <w:gridCol w:w="567"/>
        <w:gridCol w:w="11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tblHeader/>
          <w:jc w:val="center"/>
        </w:trPr>
        <w:tc>
          <w:tcPr>
            <w:tcW w:w="760" w:type="dxa"/>
            <w:noWrap w:val="0"/>
            <w:vAlign w:val="center"/>
          </w:tcPr>
          <w:p>
            <w:pPr>
              <w:widowControl/>
              <w:jc w:val="center"/>
              <w:rPr>
                <w:rFonts w:ascii="黑体" w:hAnsi="黑体" w:eastAsia="黑体" w:cs="黑体"/>
                <w:color w:val="000000"/>
                <w:kern w:val="0"/>
                <w:sz w:val="24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24"/>
              </w:rPr>
              <w:t>一级指标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jc w:val="center"/>
              <w:rPr>
                <w:rFonts w:ascii="黑体" w:hAnsi="黑体" w:eastAsia="黑体" w:cs="黑体"/>
                <w:color w:val="000000"/>
                <w:kern w:val="0"/>
                <w:sz w:val="24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24"/>
              </w:rPr>
              <w:t>二级</w:t>
            </w:r>
          </w:p>
          <w:p>
            <w:pPr>
              <w:jc w:val="center"/>
              <w:rPr>
                <w:rFonts w:ascii="黑体" w:hAnsi="黑体" w:eastAsia="黑体" w:cs="黑体"/>
                <w:color w:val="000000"/>
                <w:kern w:val="0"/>
                <w:sz w:val="24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24"/>
              </w:rPr>
              <w:t>指标</w:t>
            </w:r>
          </w:p>
        </w:tc>
        <w:tc>
          <w:tcPr>
            <w:tcW w:w="4829" w:type="dxa"/>
            <w:noWrap w:val="0"/>
            <w:vAlign w:val="center"/>
          </w:tcPr>
          <w:p>
            <w:pPr>
              <w:jc w:val="center"/>
              <w:rPr>
                <w:rFonts w:ascii="黑体" w:hAnsi="黑体" w:eastAsia="黑体" w:cs="黑体"/>
                <w:color w:val="000000"/>
                <w:kern w:val="0"/>
                <w:sz w:val="24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24"/>
              </w:rPr>
              <w:t>内容说明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000000"/>
                <w:kern w:val="0"/>
                <w:sz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24"/>
                <w:highlight w:val="none"/>
              </w:rPr>
              <w:t>学校</w:t>
            </w:r>
          </w:p>
          <w:p>
            <w:pPr>
              <w:jc w:val="center"/>
              <w:rPr>
                <w:rFonts w:ascii="黑体" w:hAnsi="黑体" w:eastAsia="黑体" w:cs="黑体"/>
                <w:color w:val="000000"/>
                <w:kern w:val="0"/>
                <w:sz w:val="24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24"/>
              </w:rPr>
              <w:t>自</w:t>
            </w:r>
            <w:r>
              <w:rPr>
                <w:rFonts w:ascii="黑体" w:hAnsi="黑体" w:eastAsia="黑体" w:cs="黑体"/>
                <w:color w:val="000000"/>
                <w:kern w:val="0"/>
                <w:sz w:val="24"/>
              </w:rPr>
              <w:t>评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ascii="黑体" w:hAnsi="黑体" w:eastAsia="黑体" w:cs="黑体"/>
                <w:color w:val="000000"/>
                <w:kern w:val="0"/>
                <w:sz w:val="24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24"/>
                <w:highlight w:val="none"/>
              </w:rPr>
              <w:t>区县打</w:t>
            </w:r>
            <w:r>
              <w:rPr>
                <w:rFonts w:hint="eastAsia" w:ascii="黑体" w:hAnsi="黑体" w:eastAsia="黑体" w:cs="黑体"/>
                <w:color w:val="000000"/>
                <w:kern w:val="0"/>
                <w:sz w:val="24"/>
              </w:rPr>
              <w:t>分</w:t>
            </w:r>
          </w:p>
        </w:tc>
        <w:tc>
          <w:tcPr>
            <w:tcW w:w="1189" w:type="dxa"/>
            <w:noWrap w:val="0"/>
            <w:vAlign w:val="center"/>
          </w:tcPr>
          <w:p>
            <w:pPr>
              <w:jc w:val="center"/>
              <w:rPr>
                <w:rFonts w:ascii="黑体" w:hAnsi="黑体" w:eastAsia="黑体" w:cs="黑体"/>
                <w:color w:val="000000"/>
                <w:kern w:val="0"/>
                <w:sz w:val="24"/>
              </w:rPr>
            </w:pPr>
            <w:r>
              <w:rPr>
                <w:rFonts w:hint="eastAsia" w:ascii="黑体" w:hAnsi="黑体" w:eastAsia="黑体" w:cs="黑体"/>
                <w:color w:val="000000"/>
                <w:kern w:val="0"/>
                <w:sz w:val="24"/>
              </w:rPr>
              <w:t>评价办法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  <w:jc w:val="center"/>
        </w:trPr>
        <w:tc>
          <w:tcPr>
            <w:tcW w:w="760" w:type="dxa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组织机制</w:t>
            </w:r>
          </w:p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（</w:t>
            </w: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8分</w:t>
            </w: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制度建设</w:t>
            </w:r>
          </w:p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（</w:t>
            </w: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5分</w:t>
            </w: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4829" w:type="dxa"/>
            <w:noWrap w:val="0"/>
            <w:vAlign w:val="top"/>
          </w:tcPr>
          <w:p>
            <w:pPr>
              <w:widowControl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建立健全学校阅读共同体建设的制度保障；将阅读共同体建设纳入本校发展整体规划，在年度工作中有相应部署，有组织、有计划、有措施、有总结。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</w:p>
        </w:tc>
        <w:tc>
          <w:tcPr>
            <w:tcW w:w="1189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18"/>
                <w:szCs w:val="18"/>
              </w:rPr>
              <w:t>根据佐证材料酌情打分。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60" w:type="dxa"/>
            <w:vMerge w:val="continue"/>
            <w:noWrap w:val="0"/>
            <w:vAlign w:val="top"/>
          </w:tcPr>
          <w:p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bCs/>
                <w:color w:val="000000"/>
                <w:kern w:val="0"/>
                <w:sz w:val="44"/>
                <w:szCs w:val="44"/>
              </w:rPr>
            </w:pPr>
          </w:p>
        </w:tc>
        <w:tc>
          <w:tcPr>
            <w:tcW w:w="1062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组织机构</w:t>
            </w:r>
          </w:p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（</w:t>
            </w: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3</w:t>
            </w: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分）</w:t>
            </w:r>
          </w:p>
        </w:tc>
        <w:tc>
          <w:tcPr>
            <w:tcW w:w="4829" w:type="dxa"/>
            <w:noWrap w:val="0"/>
            <w:vAlign w:val="top"/>
          </w:tcPr>
          <w:p>
            <w:pPr>
              <w:widowControl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阅读共同体主体学校要起到桥梁和纽带的作用，成员单位之间要签订相应的合作协议，确保校际之间的交流合作，资源共享。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</w:p>
        </w:tc>
        <w:tc>
          <w:tcPr>
            <w:tcW w:w="1189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18"/>
                <w:szCs w:val="18"/>
              </w:rPr>
              <w:t>成员</w:t>
            </w:r>
            <w:r>
              <w:rPr>
                <w:rFonts w:hint="eastAsia" w:ascii="宋体" w:hAnsi="宋体" w:eastAsia="宋体" w:cs="Arial"/>
                <w:color w:val="000000"/>
                <w:kern w:val="0"/>
                <w:sz w:val="18"/>
                <w:szCs w:val="18"/>
              </w:rPr>
              <w:t>单位</w:t>
            </w:r>
            <w:r>
              <w:rPr>
                <w:rFonts w:ascii="宋体" w:hAnsi="宋体" w:eastAsia="宋体" w:cs="Arial"/>
                <w:color w:val="000000"/>
                <w:kern w:val="0"/>
                <w:sz w:val="18"/>
                <w:szCs w:val="18"/>
              </w:rPr>
              <w:t>相互鉴定协议，少一个扣</w:t>
            </w:r>
            <w:r>
              <w:rPr>
                <w:rFonts w:hint="eastAsia" w:ascii="宋体" w:hAnsi="宋体" w:eastAsia="宋体" w:cs="Arial"/>
                <w:color w:val="000000"/>
                <w:kern w:val="0"/>
                <w:sz w:val="18"/>
                <w:szCs w:val="18"/>
              </w:rPr>
              <w:t>1分。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60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环境建设</w:t>
            </w:r>
          </w:p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（1</w:t>
            </w: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8分</w:t>
            </w: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文化氛围</w:t>
            </w:r>
          </w:p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（</w:t>
            </w: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3</w:t>
            </w: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分）</w:t>
            </w:r>
          </w:p>
        </w:tc>
        <w:tc>
          <w:tcPr>
            <w:tcW w:w="4829" w:type="dxa"/>
            <w:noWrap w:val="0"/>
            <w:vAlign w:val="top"/>
          </w:tcPr>
          <w:p>
            <w:pPr>
              <w:widowControl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共同体成员单位应打造具有共性，同时突显个性的阅读文化阵地，与校园文化、地域特征、人文特色、民族风情等因素相融合。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</w:p>
        </w:tc>
        <w:tc>
          <w:tcPr>
            <w:tcW w:w="1189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18"/>
                <w:szCs w:val="18"/>
              </w:rPr>
              <w:t>根据佐证材料酌情打分。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60" w:type="dxa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</w:p>
        </w:tc>
        <w:tc>
          <w:tcPr>
            <w:tcW w:w="1062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图书馆（室）</w:t>
            </w:r>
          </w:p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（</w:t>
            </w: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</w:t>
            </w: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0分）</w:t>
            </w:r>
          </w:p>
        </w:tc>
        <w:tc>
          <w:tcPr>
            <w:tcW w:w="4829" w:type="dxa"/>
            <w:noWrap w:val="0"/>
            <w:vAlign w:val="top"/>
          </w:tcPr>
          <w:p>
            <w:pPr>
              <w:widowControl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kern w:val="0"/>
                <w:szCs w:val="21"/>
              </w:rPr>
              <w:t>符合《中小学图书馆（室）规程》和《浙江省中小学教育技术装备标准》要求；配备师生阅读和检索的数字资源、有声读物等非书资源；场馆建设体现开放多元、休闲舒适、人文人本；有信息化、智能化的阅读设备，能开展信息化管理和阅读服务，探索智慧图书馆建设。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</w:p>
        </w:tc>
        <w:tc>
          <w:tcPr>
            <w:tcW w:w="1189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18"/>
                <w:szCs w:val="18"/>
              </w:rPr>
              <w:t>根据佐证材料酌情打分。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8" w:hRule="atLeast"/>
          <w:jc w:val="center"/>
        </w:trPr>
        <w:tc>
          <w:tcPr>
            <w:tcW w:w="760" w:type="dxa"/>
            <w:vMerge w:val="continue"/>
            <w:noWrap w:val="0"/>
            <w:vAlign w:val="top"/>
          </w:tcPr>
          <w:p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bCs/>
                <w:color w:val="000000"/>
                <w:kern w:val="0"/>
                <w:sz w:val="44"/>
                <w:szCs w:val="44"/>
              </w:rPr>
            </w:pPr>
          </w:p>
        </w:tc>
        <w:tc>
          <w:tcPr>
            <w:tcW w:w="1062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拓展空间</w:t>
            </w:r>
          </w:p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（</w:t>
            </w: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5</w:t>
            </w: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分）</w:t>
            </w:r>
          </w:p>
        </w:tc>
        <w:tc>
          <w:tcPr>
            <w:tcW w:w="4829" w:type="dxa"/>
            <w:noWrap w:val="0"/>
            <w:vAlign w:val="top"/>
          </w:tcPr>
          <w:p>
            <w:pPr>
              <w:widowControl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注重阅读氛围的营造，空间的再（改）造和延伸到学校各室，有班级图书角、校园开放式书吧等形式多样的公共阅读空间。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</w:p>
        </w:tc>
        <w:tc>
          <w:tcPr>
            <w:tcW w:w="1189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18"/>
                <w:szCs w:val="18"/>
              </w:rPr>
              <w:t>根据佐证材料酌情打分。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0" w:type="dxa"/>
            <w:vMerge w:val="restart"/>
            <w:noWrap w:val="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课程建设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（</w:t>
            </w: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3</w:t>
            </w: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5分）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指导团队</w:t>
            </w:r>
          </w:p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（</w:t>
            </w: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</w:t>
            </w: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0分）</w:t>
            </w:r>
          </w:p>
        </w:tc>
        <w:tc>
          <w:tcPr>
            <w:tcW w:w="4829" w:type="dxa"/>
            <w:noWrap w:val="0"/>
            <w:vAlign w:val="center"/>
          </w:tcPr>
          <w:p>
            <w:pPr>
              <w:widowControl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共同体成员学校应建立健全</w:t>
            </w: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师生阅读机制和</w:t>
            </w: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实施计划；利用名师工作室、师徒结对等，有计划地开设阅读指导课，提升教师的阅读指导水平，培养学生阅读兴趣、阅读技能和终身学习的能力。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</w:p>
        </w:tc>
        <w:tc>
          <w:tcPr>
            <w:tcW w:w="1189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18"/>
                <w:szCs w:val="18"/>
              </w:rPr>
              <w:t>根据佐证材料酌情打分。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760" w:type="dxa"/>
            <w:vMerge w:val="continue"/>
            <w:noWrap w:val="0"/>
            <w:vAlign w:val="top"/>
          </w:tcPr>
          <w:p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bCs/>
                <w:color w:val="000000"/>
                <w:kern w:val="0"/>
                <w:sz w:val="44"/>
                <w:szCs w:val="44"/>
              </w:rPr>
            </w:pPr>
          </w:p>
        </w:tc>
        <w:tc>
          <w:tcPr>
            <w:tcW w:w="1062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阅读资源</w:t>
            </w:r>
          </w:p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（</w:t>
            </w: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</w:t>
            </w: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5分）</w:t>
            </w:r>
          </w:p>
        </w:tc>
        <w:tc>
          <w:tcPr>
            <w:tcW w:w="4829" w:type="dxa"/>
            <w:noWrap w:val="0"/>
            <w:vAlign w:val="center"/>
          </w:tcPr>
          <w:p>
            <w:pPr>
              <w:widowControl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根据新课标要求，结合区域和学校特色，建有丰富、优质和多形态的校本阅读课程或特色资源，阅读教学和资源建设多学科融合（非仅语文学科）。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</w:p>
        </w:tc>
        <w:tc>
          <w:tcPr>
            <w:tcW w:w="1189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18"/>
                <w:szCs w:val="18"/>
              </w:rPr>
              <w:t>具有校本阅读指导课程或特色资源</w:t>
            </w:r>
            <w:r>
              <w:rPr>
                <w:rFonts w:ascii="宋体" w:hAnsi="宋体" w:eastAsia="宋体" w:cs="Arial"/>
                <w:color w:val="000000"/>
                <w:kern w:val="0"/>
                <w:sz w:val="18"/>
                <w:szCs w:val="18"/>
              </w:rPr>
              <w:t>，</w:t>
            </w:r>
            <w:r>
              <w:rPr>
                <w:rFonts w:hint="eastAsia" w:ascii="宋体" w:hAnsi="宋体" w:eastAsia="宋体" w:cs="Arial"/>
                <w:color w:val="000000"/>
                <w:kern w:val="0"/>
                <w:sz w:val="18"/>
                <w:szCs w:val="18"/>
              </w:rPr>
              <w:t>并覆盖各年级，涉及</w:t>
            </w:r>
            <w:r>
              <w:rPr>
                <w:rFonts w:ascii="宋体" w:hAnsi="宋体" w:eastAsia="宋体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hint="eastAsia" w:ascii="宋体" w:hAnsi="宋体" w:eastAsia="宋体" w:cs="Arial"/>
                <w:color w:val="000000"/>
                <w:kern w:val="0"/>
                <w:sz w:val="18"/>
                <w:szCs w:val="18"/>
              </w:rPr>
              <w:t>个学科以上不扣分。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60" w:type="dxa"/>
            <w:vMerge w:val="continue"/>
            <w:noWrap w:val="0"/>
            <w:vAlign w:val="top"/>
          </w:tcPr>
          <w:p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bCs/>
                <w:color w:val="000000"/>
                <w:kern w:val="0"/>
                <w:sz w:val="44"/>
                <w:szCs w:val="44"/>
              </w:rPr>
            </w:pPr>
          </w:p>
        </w:tc>
        <w:tc>
          <w:tcPr>
            <w:tcW w:w="1062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资源共享</w:t>
            </w:r>
          </w:p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（10分）</w:t>
            </w:r>
          </w:p>
        </w:tc>
        <w:tc>
          <w:tcPr>
            <w:tcW w:w="4829" w:type="dxa"/>
            <w:noWrap w:val="0"/>
            <w:vAlign w:val="center"/>
          </w:tcPr>
          <w:p>
            <w:pPr>
              <w:widowControl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共同体成员学校应联合和共享资源，开展教师阅读教学、教研和学生阅读活动；通过利用各种形式加强阅读宣传、相互推荐优秀读物，如编制新书目录和简介，推荐书目，专题导读书目及进行书刊展览等；通过合作共建等多种方式实现学校与学校、学校与家庭、学校与社区等阅读资源的融通和共享。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</w:p>
        </w:tc>
        <w:tc>
          <w:tcPr>
            <w:tcW w:w="1189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18"/>
                <w:szCs w:val="18"/>
              </w:rPr>
              <w:t>根据佐证材料酌情打分。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6" w:hRule="atLeast"/>
          <w:jc w:val="center"/>
        </w:trPr>
        <w:tc>
          <w:tcPr>
            <w:tcW w:w="760" w:type="dxa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应用推广</w:t>
            </w:r>
          </w:p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（</w:t>
            </w: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2</w:t>
            </w: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4分）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活动开展</w:t>
            </w:r>
          </w:p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（</w:t>
            </w: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</w:t>
            </w: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6分）</w:t>
            </w:r>
          </w:p>
        </w:tc>
        <w:tc>
          <w:tcPr>
            <w:tcW w:w="4829" w:type="dxa"/>
            <w:noWrap w:val="0"/>
            <w:vAlign w:val="center"/>
          </w:tcPr>
          <w:p>
            <w:pPr>
              <w:widowControl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共同体成员学校之间定期组织开展读书论坛、读书征文、主题讲座、演讲、辩论、课本剧等多种多样的读书交流活动，推动阅读课程开展，每学期不少于2次；</w:t>
            </w:r>
            <w:r>
              <w:rPr>
                <w:rFonts w:hint="eastAsia" w:ascii="宋体" w:hAnsi="宋体" w:eastAsia="宋体" w:cs="Arial"/>
                <w:kern w:val="0"/>
                <w:szCs w:val="21"/>
              </w:rPr>
              <w:t>积极参与地方阅读与宣传活动，产生较好的社会影响。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</w:p>
        </w:tc>
        <w:tc>
          <w:tcPr>
            <w:tcW w:w="1189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18"/>
                <w:szCs w:val="18"/>
              </w:rPr>
              <w:t>根据佐证材料酌情打分。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0" w:type="dxa"/>
            <w:vMerge w:val="continue"/>
            <w:noWrap w:val="0"/>
            <w:vAlign w:val="top"/>
          </w:tcPr>
          <w:p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bCs/>
                <w:color w:val="000000"/>
                <w:kern w:val="0"/>
                <w:sz w:val="44"/>
                <w:szCs w:val="44"/>
              </w:rPr>
            </w:pPr>
          </w:p>
        </w:tc>
        <w:tc>
          <w:tcPr>
            <w:tcW w:w="1062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服务与支持</w:t>
            </w:r>
          </w:p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（8分）</w:t>
            </w:r>
          </w:p>
        </w:tc>
        <w:tc>
          <w:tcPr>
            <w:tcW w:w="4829" w:type="dxa"/>
            <w:noWrap w:val="0"/>
            <w:vAlign w:val="center"/>
          </w:tcPr>
          <w:p>
            <w:pPr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利用信息化等手段，对学生阅读偏好、阅读能力等进行分析，为学生提供多样化、个性化的阅读资源推送等服务和支持。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bCs/>
                <w:color w:val="000000"/>
                <w:kern w:val="0"/>
                <w:sz w:val="44"/>
                <w:szCs w:val="44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bCs/>
                <w:color w:val="000000"/>
                <w:kern w:val="0"/>
                <w:sz w:val="44"/>
                <w:szCs w:val="44"/>
              </w:rPr>
            </w:pPr>
          </w:p>
        </w:tc>
        <w:tc>
          <w:tcPr>
            <w:tcW w:w="1189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18"/>
                <w:szCs w:val="18"/>
              </w:rPr>
              <w:t>根据佐证材料酌情打分。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  <w:jc w:val="center"/>
        </w:trPr>
        <w:tc>
          <w:tcPr>
            <w:tcW w:w="760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成效和亮点</w:t>
            </w:r>
          </w:p>
          <w:p>
            <w:pPr>
              <w:jc w:val="center"/>
              <w:rPr>
                <w:rFonts w:ascii="方正小标宋简体" w:hAnsi="方正小标宋简体" w:eastAsia="方正小标宋简体" w:cs="方正小标宋简体"/>
                <w:bCs/>
                <w:color w:val="000000"/>
                <w:kern w:val="0"/>
                <w:sz w:val="44"/>
                <w:szCs w:val="44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（</w:t>
            </w: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</w:t>
            </w: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5分）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师生</w:t>
            </w: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满意度</w:t>
            </w:r>
          </w:p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（</w:t>
            </w: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5分</w:t>
            </w: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4829" w:type="dxa"/>
            <w:noWrap w:val="0"/>
            <w:vAlign w:val="center"/>
          </w:tcPr>
          <w:p>
            <w:pPr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共同体成员学校每学期应联合开展师生</w:t>
            </w: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对学校</w:t>
            </w: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阅读</w:t>
            </w: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氛围、环境、资源和阅读服务满意度</w:t>
            </w: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调查。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bCs/>
                <w:color w:val="000000"/>
                <w:kern w:val="0"/>
                <w:sz w:val="44"/>
                <w:szCs w:val="44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bCs/>
                <w:color w:val="000000"/>
                <w:kern w:val="0"/>
                <w:sz w:val="44"/>
                <w:szCs w:val="44"/>
              </w:rPr>
            </w:pPr>
          </w:p>
        </w:tc>
        <w:tc>
          <w:tcPr>
            <w:tcW w:w="1189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 w:val="18"/>
                <w:szCs w:val="18"/>
              </w:rPr>
              <w:t>开展</w:t>
            </w:r>
            <w:r>
              <w:rPr>
                <w:rFonts w:ascii="宋体" w:hAnsi="宋体" w:eastAsia="宋体" w:cs="Arial"/>
                <w:color w:val="000000"/>
                <w:kern w:val="0"/>
                <w:sz w:val="18"/>
                <w:szCs w:val="18"/>
              </w:rPr>
              <w:t>师生问卷调查得</w:t>
            </w:r>
            <w:r>
              <w:rPr>
                <w:rFonts w:hint="eastAsia" w:ascii="宋体" w:hAnsi="宋体" w:eastAsia="宋体" w:cs="Arial"/>
                <w:color w:val="000000"/>
                <w:kern w:val="0"/>
                <w:sz w:val="18"/>
                <w:szCs w:val="18"/>
              </w:rPr>
              <w:t>2分，</w:t>
            </w:r>
            <w:r>
              <w:rPr>
                <w:rFonts w:ascii="宋体" w:hAnsi="宋体" w:eastAsia="宋体" w:cs="Arial"/>
                <w:color w:val="000000"/>
                <w:kern w:val="0"/>
                <w:sz w:val="18"/>
                <w:szCs w:val="18"/>
              </w:rPr>
              <w:t>满意度98%以上</w:t>
            </w:r>
            <w:r>
              <w:rPr>
                <w:rFonts w:hint="eastAsia" w:ascii="宋体" w:hAnsi="宋体" w:eastAsia="宋体" w:cs="Arial"/>
                <w:color w:val="000000"/>
                <w:kern w:val="0"/>
                <w:sz w:val="18"/>
                <w:szCs w:val="18"/>
              </w:rPr>
              <w:t>得3</w:t>
            </w:r>
            <w:r>
              <w:rPr>
                <w:rFonts w:ascii="宋体" w:hAnsi="宋体" w:eastAsia="宋体" w:cs="Arial"/>
                <w:color w:val="000000"/>
                <w:kern w:val="0"/>
                <w:sz w:val="18"/>
                <w:szCs w:val="18"/>
              </w:rPr>
              <w:t>分，低于</w:t>
            </w:r>
            <w:r>
              <w:rPr>
                <w:rFonts w:hint="eastAsia" w:ascii="宋体" w:hAnsi="宋体" w:eastAsia="宋体" w:cs="Arial"/>
                <w:color w:val="000000"/>
                <w:kern w:val="0"/>
                <w:sz w:val="18"/>
                <w:szCs w:val="18"/>
              </w:rPr>
              <w:t>1个%点扣1分。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760" w:type="dxa"/>
            <w:vMerge w:val="continue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</w:p>
        </w:tc>
        <w:tc>
          <w:tcPr>
            <w:tcW w:w="1062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特色亮点</w:t>
            </w:r>
          </w:p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（</w:t>
            </w: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1</w:t>
            </w:r>
            <w:r>
              <w:rPr>
                <w:rFonts w:ascii="宋体" w:hAnsi="宋体" w:eastAsia="宋体" w:cs="Arial"/>
                <w:color w:val="000000"/>
                <w:kern w:val="0"/>
                <w:szCs w:val="21"/>
              </w:rPr>
              <w:t>0分）</w:t>
            </w:r>
          </w:p>
        </w:tc>
        <w:tc>
          <w:tcPr>
            <w:tcW w:w="4829" w:type="dxa"/>
            <w:noWrap w:val="0"/>
            <w:vAlign w:val="center"/>
          </w:tcPr>
          <w:p>
            <w:pPr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形成区域阅读推广的经验，具有区域引领示范作用；学校或师生获得全国或省、市、县各级阅读教育教学等方面的成果与荣誉。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bCs/>
                <w:color w:val="000000"/>
                <w:kern w:val="0"/>
                <w:sz w:val="44"/>
                <w:szCs w:val="44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bCs/>
                <w:color w:val="000000"/>
                <w:kern w:val="0"/>
                <w:sz w:val="44"/>
                <w:szCs w:val="44"/>
              </w:rPr>
            </w:pPr>
          </w:p>
        </w:tc>
        <w:tc>
          <w:tcPr>
            <w:tcW w:w="1189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eastAsia="宋体" w:cs="Arial"/>
                <w:color w:val="000000"/>
                <w:kern w:val="0"/>
                <w:sz w:val="18"/>
                <w:szCs w:val="18"/>
              </w:rPr>
              <w:t>县级得4</w:t>
            </w:r>
            <w:r>
              <w:rPr>
                <w:rFonts w:hint="eastAsia" w:ascii="宋体" w:hAnsi="宋体" w:eastAsia="宋体" w:cs="Arial"/>
                <w:color w:val="000000"/>
                <w:kern w:val="0"/>
                <w:sz w:val="18"/>
                <w:szCs w:val="18"/>
              </w:rPr>
              <w:t>分，市级得</w:t>
            </w:r>
            <w:r>
              <w:rPr>
                <w:rFonts w:ascii="宋体" w:hAnsi="宋体" w:eastAsia="宋体" w:cs="Arial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hint="eastAsia" w:ascii="宋体" w:hAnsi="宋体" w:eastAsia="宋体" w:cs="Arial"/>
                <w:color w:val="000000"/>
                <w:kern w:val="0"/>
                <w:sz w:val="18"/>
                <w:szCs w:val="18"/>
              </w:rPr>
              <w:t>分，省级得</w:t>
            </w:r>
            <w:r>
              <w:rPr>
                <w:rFonts w:ascii="宋体" w:hAnsi="宋体" w:eastAsia="宋体" w:cs="Arial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hint="eastAsia" w:ascii="宋体" w:hAnsi="宋体" w:eastAsia="宋体" w:cs="Arial"/>
                <w:color w:val="000000"/>
                <w:kern w:val="0"/>
                <w:sz w:val="18"/>
                <w:szCs w:val="18"/>
              </w:rPr>
              <w:t>分，国家级得</w:t>
            </w:r>
            <w:r>
              <w:rPr>
                <w:rFonts w:ascii="宋体" w:hAnsi="宋体" w:eastAsia="宋体" w:cs="Arial"/>
                <w:color w:val="000000"/>
                <w:kern w:val="0"/>
                <w:sz w:val="18"/>
                <w:szCs w:val="18"/>
              </w:rPr>
              <w:t>10分</w:t>
            </w:r>
            <w:r>
              <w:rPr>
                <w:rFonts w:hint="eastAsia" w:ascii="宋体" w:hAnsi="宋体" w:eastAsia="宋体" w:cs="Arial"/>
                <w:color w:val="000000"/>
                <w:kern w:val="0"/>
                <w:sz w:val="18"/>
                <w:szCs w:val="18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6651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</w:p>
        </w:tc>
        <w:tc>
          <w:tcPr>
            <w:tcW w:w="1189" w:type="dxa"/>
            <w:noWrap w:val="0"/>
            <w:vAlign w:val="center"/>
          </w:tcPr>
          <w:p>
            <w:pPr>
              <w:jc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</w:p>
        </w:tc>
      </w:tr>
    </w:tbl>
    <w:p>
      <w:pPr>
        <w:spacing w:line="240" w:lineRule="atLeas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宋体" w:hAnsi="宋体" w:eastAsia="宋体" w:cs="Arial"/>
          <w:color w:val="000000"/>
          <w:kern w:val="0"/>
          <w:szCs w:val="21"/>
        </w:rPr>
        <w:t>说明：佐证材料要求是2022-20</w:t>
      </w:r>
      <w:r>
        <w:rPr>
          <w:rFonts w:ascii="宋体" w:hAnsi="宋体" w:eastAsia="宋体" w:cs="Arial"/>
          <w:color w:val="000000"/>
          <w:kern w:val="0"/>
          <w:szCs w:val="21"/>
        </w:rPr>
        <w:t>23</w:t>
      </w:r>
      <w:r>
        <w:rPr>
          <w:rFonts w:hint="eastAsia" w:ascii="宋体" w:hAnsi="宋体" w:eastAsia="宋体" w:cs="Arial"/>
          <w:color w:val="000000"/>
          <w:kern w:val="0"/>
          <w:szCs w:val="21"/>
        </w:rPr>
        <w:t>年。</w:t>
      </w:r>
    </w:p>
    <w:p>
      <w:pPr>
        <w:spacing w:line="560" w:lineRule="exact"/>
        <w:jc w:val="left"/>
        <w:rPr>
          <w:rFonts w:ascii="黑体" w:hAnsi="黑体" w:eastAsia="黑体"/>
          <w:sz w:val="32"/>
          <w:szCs w:val="32"/>
        </w:rPr>
      </w:pPr>
    </w:p>
    <w:p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</w:rPr>
      </w:pPr>
    </w:p>
    <w:p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</w:rPr>
      </w:pPr>
    </w:p>
    <w:p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</w:rPr>
      </w:pPr>
    </w:p>
    <w:p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</w:rPr>
      </w:pPr>
    </w:p>
    <w:p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</w:rPr>
      </w:pPr>
    </w:p>
    <w:p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</w:rPr>
      </w:pPr>
    </w:p>
    <w:p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</w:rPr>
      </w:pPr>
    </w:p>
    <w:p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</w:rPr>
      </w:pPr>
    </w:p>
    <w:p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</w:rPr>
      </w:pPr>
    </w:p>
    <w:p>
      <w:pPr>
        <w:spacing w:line="440" w:lineRule="exact"/>
        <w:jc w:val="left"/>
        <w:rPr>
          <w:rFonts w:ascii="黑体" w:hAnsi="黑体" w:eastAsia="黑体"/>
          <w:sz w:val="32"/>
          <w:szCs w:val="32"/>
          <w:lang w:val="en-IE"/>
        </w:rPr>
      </w:pPr>
      <w:r>
        <w:rPr>
          <w:rFonts w:ascii="方正小标宋简体" w:hAnsi="黑体" w:eastAsia="方正小标宋简体"/>
          <w:sz w:val="44"/>
          <w:szCs w:val="44"/>
        </w:rPr>
        <w:br w:type="page"/>
      </w:r>
      <w:r>
        <w:rPr>
          <w:rFonts w:hint="eastAsia" w:ascii="黑体" w:hAnsi="黑体" w:eastAsia="黑体"/>
          <w:sz w:val="32"/>
          <w:szCs w:val="32"/>
          <w:lang w:val="en-IE"/>
        </w:rPr>
        <w:t>附件5</w:t>
      </w:r>
    </w:p>
    <w:p>
      <w:pPr>
        <w:spacing w:line="440" w:lineRule="exact"/>
        <w:jc w:val="left"/>
        <w:rPr>
          <w:rFonts w:hint="eastAsia" w:ascii="方正小标宋简体" w:hAnsi="黑体" w:eastAsia="方正小标宋简体"/>
          <w:sz w:val="44"/>
          <w:szCs w:val="44"/>
        </w:rPr>
      </w:pPr>
    </w:p>
    <w:p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</w:rPr>
      </w:pPr>
      <w:r>
        <w:rPr>
          <w:rFonts w:hint="eastAsia" w:ascii="方正小标宋简体" w:hAnsi="黑体" w:eastAsia="方正小标宋简体"/>
          <w:sz w:val="44"/>
          <w:szCs w:val="44"/>
        </w:rPr>
        <w:t>操作指南</w:t>
      </w:r>
    </w:p>
    <w:p>
      <w:pPr>
        <w:spacing w:line="480" w:lineRule="exact"/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</w:pPr>
    </w:p>
    <w:p>
      <w:pPr>
        <w:spacing w:line="480" w:lineRule="exact"/>
        <w:ind w:firstLine="640" w:firstLineChars="200"/>
        <w:rPr>
          <w:rFonts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一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、输入网址lib.zjer.cn 进入浙里阅读（中小学数字图书馆）页面，点击首页“202</w:t>
      </w:r>
      <w:r>
        <w:rPr>
          <w:rFonts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4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年全省师生阅读推广活动”轮播图，或点击菜单栏“活动广场”进入活动广场页面</w:t>
      </w:r>
    </w:p>
    <w:p>
      <w:pPr>
        <w:spacing w:line="240" w:lineRule="auto"/>
        <w:jc w:val="center"/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default" w:ascii="宋体" w:hAnsi="宋体" w:cs="宋体"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259715</wp:posOffset>
            </wp:positionV>
            <wp:extent cx="5066030" cy="1978025"/>
            <wp:effectExtent l="0" t="0" r="1270" b="3175"/>
            <wp:wrapSquare wrapText="bothSides"/>
            <wp:docPr id="2" name="图片 4" descr="/private/var/folders/t7/fk7kwc0942x75wcw66g1pf9c0000gn/T/com.kingsoft.wpsoffice.mac/photoedit2/2024040811480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/private/var/folders/t7/fk7kwc0942x75wcw66g1pf9c0000gn/T/com.kingsoft.wpsoffice.mac/photoedit2/20240408114806/temp.pngtem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80" w:lineRule="exact"/>
        <w:ind w:firstLine="640" w:firstLineChars="200"/>
        <w:rPr>
          <w:rFonts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二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、下拉至活动区域，点击活动图片进入相应活动参与页面</w:t>
      </w:r>
    </w:p>
    <w:p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268595" cy="2945765"/>
            <wp:effectExtent l="0" t="0" r="8255" b="6985"/>
            <wp:docPr id="3" name="图片 1" descr="/private/var/folders/t7/fk7kwc0942x75wcw66g1pf9c0000gn/T/com.kingsoft.wpsoffice.mac/picturecompress_20240319114718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/private/var/folders/t7/fk7kwc0942x75wcw66g1pf9c0000gn/T/com.kingsoft.wpsoffice.mac/picturecompress_20240319114718/output_1.pn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</w:pPr>
    </w:p>
    <w:p>
      <w:pPr>
        <w:spacing w:line="480" w:lineRule="exact"/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 xml:space="preserve"> </w:t>
      </w:r>
      <w:r>
        <w:rPr>
          <w:rFonts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 xml:space="preserve">   三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、进入活动页面后，点击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eastAsia="zh-Hans" w:bidi="ar"/>
        </w:rPr>
        <w:t>提交作品按钮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参与相关活动</w:t>
      </w:r>
    </w:p>
    <w:p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269230" cy="1037590"/>
            <wp:effectExtent l="0" t="0" r="7620" b="10160"/>
            <wp:docPr id="4" name="图片 2" descr="截屏2023-03-23 下午12.24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截屏2023-03-23 下午12.24.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rPr>
          <w:rFonts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eastAsia="zh-Hans" w:bidi="ar"/>
        </w:rPr>
      </w:pPr>
    </w:p>
    <w:p>
      <w:pPr>
        <w:spacing w:line="480" w:lineRule="exact"/>
        <w:ind w:firstLine="640" w:firstLineChars="200"/>
        <w:rPr>
          <w:rFonts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eastAsia="zh-Hans" w:bidi="ar"/>
        </w:rPr>
      </w:pPr>
      <w:r>
        <w:rPr>
          <w:rFonts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eastAsia="zh-Hans" w:bidi="ar"/>
        </w:rPr>
        <w:t>四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、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eastAsia="zh-Hans" w:bidi="ar"/>
        </w:rPr>
        <w:t>输入作品标题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、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eastAsia="zh-Hans" w:bidi="ar"/>
        </w:rPr>
        <w:t>正文内容</w:t>
      </w:r>
      <w:r>
        <w:rPr>
          <w:rFonts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eastAsia="zh-Hans" w:bidi="ar"/>
        </w:rPr>
        <w:t>，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eastAsia="zh-Hans" w:bidi="ar"/>
        </w:rPr>
        <w:t>可添加文档</w:t>
      </w:r>
      <w:r>
        <w:rPr>
          <w:rFonts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eastAsia="zh-Hans" w:bidi="ar"/>
        </w:rPr>
        <w:t>、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eastAsia="zh-Hans" w:bidi="ar"/>
        </w:rPr>
        <w:t>音频</w:t>
      </w:r>
      <w:r>
        <w:rPr>
          <w:rFonts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eastAsia="zh-Hans" w:bidi="ar"/>
        </w:rPr>
        <w:t>、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eastAsia="zh-Hans" w:bidi="ar"/>
        </w:rPr>
        <w:t>视频等附件</w:t>
      </w:r>
      <w:r>
        <w:rPr>
          <w:rFonts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eastAsia="zh-Hans" w:bidi="ar"/>
        </w:rPr>
        <w:t>，</w:t>
      </w:r>
      <w:r>
        <w:rPr>
          <w:rFonts w:hint="eastAsia" w:ascii="仿宋_GB2312" w:hAnsi="微软雅黑" w:eastAsia="仿宋_GB2312" w:cs="仿宋_GB2312"/>
          <w:color w:val="000000"/>
          <w:kern w:val="0"/>
          <w:sz w:val="32"/>
          <w:szCs w:val="32"/>
          <w:shd w:val="clear" w:color="auto" w:fill="FFFFFF"/>
          <w:lang w:eastAsia="zh-Hans" w:bidi="ar"/>
        </w:rPr>
        <w:t>点击下一步完成作品上传</w:t>
      </w:r>
    </w:p>
    <w:p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203825" cy="2753995"/>
            <wp:effectExtent l="0" t="0" r="15875" b="8255"/>
            <wp:docPr id="6" name="图片 3" descr="截屏2023-03-23 下午12.25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截屏2023-03-23 下午12.25.05"/>
                    <pic:cNvPicPr>
                      <a:picLocks noChangeAspect="1"/>
                    </pic:cNvPicPr>
                  </pic:nvPicPr>
                  <pic:blipFill>
                    <a:blip r:embed="rId9"/>
                    <a:srcRect l="10767" t="13870" r="10068" b="19096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"/>
    <w:bookmarkEnd w:id="7"/>
    <w:bookmarkEnd w:id="8"/>
    <w:bookmarkEnd w:id="9"/>
    <w:p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  <w:lang w:val="en-IE"/>
        </w:rPr>
      </w:pPr>
    </w:p>
    <w:p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  <w:lang w:val="en-IE"/>
        </w:rPr>
      </w:pPr>
    </w:p>
    <w:p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  <w:lang w:val="en-IE"/>
        </w:rPr>
      </w:pPr>
    </w:p>
    <w:p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  <w:lang w:val="en-IE"/>
        </w:rPr>
      </w:pPr>
    </w:p>
    <w:p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  <w:lang w:val="en-IE"/>
        </w:rPr>
      </w:pPr>
    </w:p>
    <w:p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  <w:lang w:val="en-IE"/>
        </w:rPr>
      </w:pPr>
    </w:p>
    <w:p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  <w:lang w:val="en-IE"/>
        </w:rPr>
      </w:pPr>
    </w:p>
    <w:p>
      <w:pPr>
        <w:spacing w:line="560" w:lineRule="exact"/>
        <w:rPr>
          <w:rFonts w:hint="eastAsia" w:ascii="方正小标宋简体" w:hAnsi="黑体" w:eastAsia="方正小标宋简体"/>
          <w:sz w:val="44"/>
          <w:szCs w:val="44"/>
          <w:lang w:val="en-IE"/>
        </w:rPr>
      </w:pPr>
    </w:p>
    <w:p>
      <w:pPr>
        <w:rPr>
          <w:rFonts w:ascii="宋体" w:hAnsi="宋体" w:eastAsia="等线" w:cs="宋体"/>
          <w:sz w:val="28"/>
          <w:szCs w:val="28"/>
        </w:rPr>
      </w:pPr>
    </w:p>
    <w:p/>
    <w:sectPr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DxZ+TlrgEAAEsD&#10;AAAOAAAAAAAAAAEAIAAAAB4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297815" cy="15494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2.2pt;width:23.45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GoD&#10;PVrSAAAAAwEAAA8AAAAAAAAAAQAgAAAAIgAAAGRycy9kb3ducmV2LnhtbFBLAQIUABQAAAAIAIdO&#10;4kATFY++8AEAALQDAAAOAAAAAAAAAAEAIAAAACEBAABkcnMvZTJvRG9jLnhtbFBLBQYAAAAABgAG&#10;AFkBAACD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8C9"/>
    <w:rsid w:val="005058C9"/>
    <w:rsid w:val="006A5348"/>
    <w:rsid w:val="006B0B7C"/>
    <w:rsid w:val="008136BE"/>
    <w:rsid w:val="009903BB"/>
    <w:rsid w:val="009D7F1E"/>
    <w:rsid w:val="00BD7B7C"/>
    <w:rsid w:val="00E46F68"/>
    <w:rsid w:val="00F14286"/>
    <w:rsid w:val="07A33E22"/>
    <w:rsid w:val="24713980"/>
    <w:rsid w:val="499B3A6C"/>
    <w:rsid w:val="4D084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spacing w:after="120"/>
    </w:pPr>
    <w:rPr>
      <w:rFonts w:ascii="Times New Roman" w:hAnsi="Times New Roman" w:eastAsia="宋体"/>
      <w:szCs w:val="24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DoubleOX</Company>
  <Pages>1</Pages>
  <Words>533</Words>
  <Characters>3042</Characters>
  <Lines>25</Lines>
  <Paragraphs>7</Paragraphs>
  <TotalTime>22</TotalTime>
  <ScaleCrop>false</ScaleCrop>
  <LinksUpToDate>false</LinksUpToDate>
  <CharactersWithSpaces>3568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2023-03-29T01:42:00Z</dcterms:created>
  <dc:creator>Administrator</dc:creator>
  <cp:lastModifiedBy>Administrator</cp:lastModifiedBy>
  <dcterms:modified xsi:type="dcterms:W3CDTF">2024-04-15T08:39:37Z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</Properties>
</file>