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cs="Times New Roman"/>
        </w:rPr>
      </w:pPr>
      <w:r>
        <w:rPr>
          <w:rFonts w:hint="default" w:ascii="Times New Roman" w:hAnsi="Times New Roman" w:eastAsia="黑体" w:cs="Times New Roman"/>
          <w:color w:val="000000"/>
          <w:sz w:val="32"/>
          <w:szCs w:val="32"/>
        </w:rPr>
        <w:t>附件</w:t>
      </w:r>
    </w:p>
    <w:p>
      <w:pPr>
        <w:spacing w:line="600" w:lineRule="exact"/>
        <w:jc w:val="center"/>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rPr>
        <w:t>危化品领域</w:t>
      </w:r>
      <w:r>
        <w:rPr>
          <w:rFonts w:hint="default" w:ascii="Times New Roman" w:hAnsi="Times New Roman" w:eastAsia="方正小标宋简体" w:cs="Times New Roman"/>
          <w:color w:val="000000"/>
          <w:sz w:val="36"/>
          <w:szCs w:val="36"/>
          <w:lang w:eastAsia="zh-CN"/>
        </w:rPr>
        <w:t>“两手抓、双胜利”</w:t>
      </w:r>
      <w:r>
        <w:rPr>
          <w:rFonts w:hint="default" w:ascii="Times New Roman" w:hAnsi="Times New Roman" w:eastAsia="方正小标宋简体" w:cs="Times New Roman"/>
          <w:color w:val="000000"/>
          <w:sz w:val="36"/>
          <w:szCs w:val="36"/>
        </w:rPr>
        <w:t>任务清单</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514"/>
        <w:gridCol w:w="5276"/>
        <w:gridCol w:w="2182"/>
        <w:gridCol w:w="1903"/>
        <w:gridCol w:w="24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3" w:hRule="atLeast"/>
          <w:tblHeader/>
        </w:trPr>
        <w:tc>
          <w:tcPr>
            <w:tcW w:w="720" w:type="dxa"/>
            <w:noWrap w:val="0"/>
            <w:vAlign w:val="center"/>
          </w:tcPr>
          <w:p>
            <w:pPr>
              <w:widowControl/>
              <w:adjustRightInd w:val="0"/>
              <w:snapToGrid w:val="0"/>
              <w:spacing w:line="240" w:lineRule="exact"/>
              <w:jc w:val="center"/>
              <w:textAlignment w:val="center"/>
              <w:rPr>
                <w:rFonts w:hint="default" w:ascii="Times New Roman" w:hAnsi="Times New Roman" w:cs="Times New Roman"/>
                <w:b/>
                <w:color w:val="000000"/>
                <w:szCs w:val="21"/>
              </w:rPr>
            </w:pPr>
            <w:r>
              <w:rPr>
                <w:rFonts w:hint="default" w:ascii="Times New Roman" w:hAnsi="Times New Roman" w:eastAsia="黑体" w:cs="Times New Roman"/>
                <w:b/>
                <w:color w:val="000000"/>
                <w:kern w:val="0"/>
                <w:szCs w:val="21"/>
                <w:lang w:bidi="ar"/>
              </w:rPr>
              <w:t>序号</w:t>
            </w:r>
          </w:p>
        </w:tc>
        <w:tc>
          <w:tcPr>
            <w:tcW w:w="1514" w:type="dxa"/>
            <w:noWrap w:val="0"/>
            <w:vAlign w:val="center"/>
          </w:tcPr>
          <w:p>
            <w:pPr>
              <w:widowControl/>
              <w:adjustRightInd w:val="0"/>
              <w:snapToGrid w:val="0"/>
              <w:spacing w:line="240" w:lineRule="exact"/>
              <w:jc w:val="center"/>
              <w:textAlignment w:val="center"/>
              <w:rPr>
                <w:rFonts w:hint="default" w:ascii="Times New Roman" w:hAnsi="Times New Roman" w:eastAsia="黑体" w:cs="Times New Roman"/>
                <w:b/>
                <w:color w:val="000000"/>
                <w:kern w:val="0"/>
                <w:szCs w:val="21"/>
                <w:lang w:bidi="ar"/>
              </w:rPr>
            </w:pPr>
            <w:r>
              <w:rPr>
                <w:rFonts w:hint="default" w:ascii="Times New Roman" w:hAnsi="Times New Roman" w:eastAsia="黑体" w:cs="Times New Roman"/>
                <w:b/>
                <w:color w:val="000000"/>
                <w:kern w:val="0"/>
                <w:szCs w:val="21"/>
                <w:lang w:bidi="ar"/>
              </w:rPr>
              <w:t>行业领域</w:t>
            </w:r>
          </w:p>
        </w:tc>
        <w:tc>
          <w:tcPr>
            <w:tcW w:w="5276" w:type="dxa"/>
            <w:noWrap w:val="0"/>
            <w:vAlign w:val="center"/>
          </w:tcPr>
          <w:p>
            <w:pPr>
              <w:widowControl/>
              <w:adjustRightInd w:val="0"/>
              <w:snapToGrid w:val="0"/>
              <w:spacing w:line="240" w:lineRule="exact"/>
              <w:jc w:val="center"/>
              <w:textAlignment w:val="center"/>
              <w:rPr>
                <w:rFonts w:hint="default" w:ascii="Times New Roman" w:hAnsi="Times New Roman" w:cs="Times New Roman"/>
                <w:b/>
                <w:color w:val="000000"/>
                <w:szCs w:val="21"/>
              </w:rPr>
            </w:pPr>
            <w:r>
              <w:rPr>
                <w:rFonts w:hint="default" w:ascii="Times New Roman" w:hAnsi="Times New Roman" w:eastAsia="黑体" w:cs="Times New Roman"/>
                <w:b/>
                <w:color w:val="000000"/>
                <w:kern w:val="0"/>
                <w:szCs w:val="21"/>
                <w:lang w:bidi="ar"/>
              </w:rPr>
              <w:t>主要任务及措施</w:t>
            </w:r>
          </w:p>
        </w:tc>
        <w:tc>
          <w:tcPr>
            <w:tcW w:w="2182" w:type="dxa"/>
            <w:noWrap w:val="0"/>
            <w:vAlign w:val="center"/>
          </w:tcPr>
          <w:p>
            <w:pPr>
              <w:widowControl/>
              <w:adjustRightInd w:val="0"/>
              <w:snapToGrid w:val="0"/>
              <w:spacing w:line="240" w:lineRule="exact"/>
              <w:jc w:val="center"/>
              <w:textAlignment w:val="center"/>
              <w:rPr>
                <w:rFonts w:hint="default" w:ascii="Times New Roman" w:hAnsi="Times New Roman" w:cs="Times New Roman"/>
                <w:b/>
                <w:color w:val="000000"/>
                <w:szCs w:val="21"/>
              </w:rPr>
            </w:pPr>
            <w:r>
              <w:rPr>
                <w:rFonts w:hint="default" w:ascii="Times New Roman" w:hAnsi="Times New Roman" w:eastAsia="黑体" w:cs="Times New Roman"/>
                <w:b/>
                <w:color w:val="000000"/>
                <w:kern w:val="0"/>
                <w:szCs w:val="21"/>
                <w:lang w:bidi="ar"/>
              </w:rPr>
              <w:t>完成时限</w:t>
            </w:r>
          </w:p>
        </w:tc>
        <w:tc>
          <w:tcPr>
            <w:tcW w:w="1903" w:type="dxa"/>
            <w:noWrap w:val="0"/>
            <w:vAlign w:val="center"/>
          </w:tcPr>
          <w:p>
            <w:pPr>
              <w:widowControl/>
              <w:adjustRightInd w:val="0"/>
              <w:snapToGrid w:val="0"/>
              <w:spacing w:line="240" w:lineRule="exact"/>
              <w:jc w:val="center"/>
              <w:textAlignment w:val="center"/>
              <w:rPr>
                <w:rFonts w:hint="default" w:ascii="Times New Roman" w:hAnsi="Times New Roman" w:cs="Times New Roman"/>
                <w:b/>
                <w:color w:val="000000"/>
                <w:szCs w:val="21"/>
              </w:rPr>
            </w:pPr>
            <w:r>
              <w:rPr>
                <w:rFonts w:hint="default" w:ascii="Times New Roman" w:hAnsi="Times New Roman" w:eastAsia="黑体" w:cs="Times New Roman"/>
                <w:b/>
                <w:color w:val="000000"/>
                <w:kern w:val="0"/>
                <w:szCs w:val="21"/>
                <w:lang w:bidi="ar"/>
              </w:rPr>
              <w:t>牵头单位</w:t>
            </w:r>
          </w:p>
        </w:tc>
        <w:tc>
          <w:tcPr>
            <w:tcW w:w="2474" w:type="dxa"/>
            <w:noWrap w:val="0"/>
            <w:vAlign w:val="center"/>
          </w:tcPr>
          <w:p>
            <w:pPr>
              <w:widowControl/>
              <w:adjustRightInd w:val="0"/>
              <w:snapToGrid w:val="0"/>
              <w:spacing w:line="240" w:lineRule="exact"/>
              <w:jc w:val="center"/>
              <w:textAlignment w:val="center"/>
              <w:rPr>
                <w:rFonts w:hint="default" w:ascii="Times New Roman" w:hAnsi="Times New Roman" w:cs="Times New Roman"/>
                <w:b/>
                <w:color w:val="000000"/>
                <w:szCs w:val="21"/>
              </w:rPr>
            </w:pPr>
            <w:r>
              <w:rPr>
                <w:rFonts w:hint="default" w:ascii="Times New Roman" w:hAnsi="Times New Roman" w:eastAsia="黑体" w:cs="Times New Roman"/>
                <w:b/>
                <w:color w:val="000000"/>
                <w:kern w:val="0"/>
                <w:szCs w:val="21"/>
                <w:lang w:bidi="ar"/>
              </w:rPr>
              <w:t>配合单位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55"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bookmarkStart w:id="0" w:name="_Hlk132756057"/>
            <w:r>
              <w:rPr>
                <w:rFonts w:hint="default" w:ascii="Times New Roman" w:hAnsi="Times New Roman" w:cs="Times New Roman"/>
                <w:color w:val="000000"/>
                <w:sz w:val="28"/>
                <w:szCs w:val="28"/>
              </w:rPr>
              <w:t>1</w:t>
            </w:r>
          </w:p>
        </w:tc>
        <w:tc>
          <w:tcPr>
            <w:tcW w:w="151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危化品</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r>
              <w:rPr>
                <w:rFonts w:hint="default" w:ascii="Times New Roman" w:hAnsi="Times New Roman" w:eastAsia="黑体" w:cs="Times New Roman"/>
                <w:b w:val="0"/>
                <w:bCs/>
                <w:color w:val="000000"/>
                <w:sz w:val="28"/>
                <w:szCs w:val="28"/>
              </w:rPr>
              <w:t>领域</w:t>
            </w: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eastAsia="黑体" w:cs="Times New Roman"/>
                <w:b/>
                <w:color w:val="000000"/>
                <w:kern w:val="0"/>
                <w:sz w:val="28"/>
                <w:szCs w:val="28"/>
                <w:lang w:val="en" w:eastAsia="zh-CN" w:bidi="ar"/>
              </w:rPr>
            </w:pPr>
            <w:r>
              <w:rPr>
                <w:rFonts w:hint="default" w:ascii="Times New Roman" w:hAnsi="Times New Roman" w:eastAsia="宋体" w:cs="Times New Roman"/>
                <w:b/>
                <w:bCs/>
                <w:color w:val="000000"/>
                <w:sz w:val="28"/>
                <w:szCs w:val="28"/>
                <w:lang w:val="en-US" w:eastAsia="zh-CN"/>
              </w:rPr>
              <w:t>坚决打好平安护航亚运主动仗。</w:t>
            </w:r>
            <w:r>
              <w:rPr>
                <w:rFonts w:hint="default" w:ascii="Times New Roman" w:hAnsi="Times New Roman" w:eastAsia="宋体" w:cs="Times New Roman"/>
                <w:color w:val="000000"/>
                <w:sz w:val="28"/>
                <w:szCs w:val="28"/>
                <w:lang w:val="en-US" w:eastAsia="zh-CN"/>
              </w:rPr>
              <w:t>重点关注危险化学品企业问题隐患，实施风险分级分类管控，</w:t>
            </w:r>
            <w:r>
              <w:rPr>
                <w:rFonts w:hint="eastAsia" w:ascii="Times New Roman" w:hAnsi="Times New Roman" w:eastAsia="宋体" w:cs="Times New Roman"/>
                <w:color w:val="000000"/>
                <w:sz w:val="28"/>
                <w:szCs w:val="28"/>
                <w:lang w:val="en-US" w:eastAsia="zh-CN"/>
              </w:rPr>
              <w:t>涉及“两重点一重大”、试生产、存在间歇性蒸（精）馏装置企业不少于2次，</w:t>
            </w:r>
            <w:r>
              <w:rPr>
                <w:rFonts w:hint="default" w:ascii="Times New Roman" w:hAnsi="Times New Roman" w:eastAsia="宋体" w:cs="Times New Roman"/>
                <w:color w:val="000000"/>
                <w:sz w:val="28"/>
                <w:szCs w:val="28"/>
                <w:lang w:val="en-US" w:eastAsia="zh-CN"/>
              </w:rPr>
              <w:t>确保排查全覆盖、隐患全掌控、整治全销号。</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kern w:val="0"/>
                <w:sz w:val="28"/>
                <w:szCs w:val="28"/>
                <w:lang w:val="en-US" w:eastAsia="zh-CN" w:bidi="ar"/>
              </w:rPr>
            </w:pPr>
            <w:r>
              <w:rPr>
                <w:rFonts w:hint="default" w:ascii="Times New Roman" w:hAnsi="Times New Roman" w:cs="Times New Roman"/>
                <w:color w:val="000000"/>
                <w:sz w:val="28"/>
                <w:szCs w:val="28"/>
              </w:rPr>
              <w:t>2023年底</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eastAsia="宋体" w:cs="Times New Roman"/>
                <w:color w:val="000000"/>
                <w:sz w:val="28"/>
                <w:szCs w:val="28"/>
                <w:lang w:eastAsia="zh-CN"/>
              </w:rPr>
              <w:t>危化品安全专委办</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eastAsia="宋体" w:cs="Times New Roman"/>
                <w:color w:val="000000"/>
                <w:sz w:val="28"/>
                <w:szCs w:val="28"/>
                <w:lang w:eastAsia="zh-CN"/>
              </w:rPr>
              <w:t>危化品安全专委会各成员单位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2</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cs="Times New Roman"/>
                <w:color w:val="000000"/>
                <w:kern w:val="2"/>
                <w:sz w:val="28"/>
                <w:szCs w:val="28"/>
                <w:lang w:val="en" w:eastAsia="zh-CN" w:bidi="ar-SA"/>
              </w:rPr>
            </w:pPr>
            <w:r>
              <w:rPr>
                <w:rFonts w:hint="default" w:ascii="Times New Roman" w:hAnsi="Times New Roman" w:cs="Times New Roman"/>
                <w:b/>
                <w:bCs/>
                <w:color w:val="000000"/>
                <w:sz w:val="28"/>
                <w:szCs w:val="28"/>
              </w:rPr>
              <w:t>开展化工园区安全整治提升</w:t>
            </w:r>
            <w:r>
              <w:rPr>
                <w:rFonts w:hint="default" w:ascii="Times New Roman" w:hAnsi="Times New Roman" w:cs="Times New Roman"/>
                <w:b/>
                <w:bCs/>
                <w:color w:val="000000"/>
                <w:sz w:val="28"/>
                <w:szCs w:val="28"/>
                <w:lang w:eastAsia="zh-CN"/>
              </w:rPr>
              <w:t>行动</w:t>
            </w:r>
            <w:r>
              <w:rPr>
                <w:rFonts w:hint="default" w:ascii="Times New Roman" w:hAnsi="Times New Roman" w:cs="Times New Roman"/>
                <w:b/>
                <w:bCs/>
                <w:color w:val="000000"/>
                <w:sz w:val="28"/>
                <w:szCs w:val="28"/>
              </w:rPr>
              <w:t>。</w:t>
            </w:r>
            <w:r>
              <w:rPr>
                <w:rFonts w:hint="default" w:ascii="Times New Roman" w:hAnsi="Times New Roman" w:cs="Times New Roman"/>
                <w:color w:val="000000"/>
                <w:sz w:val="28"/>
                <w:szCs w:val="28"/>
              </w:rPr>
              <w:t>持续推进以“十有两禁”为重点的化工园区整治提升</w:t>
            </w:r>
            <w:r>
              <w:rPr>
                <w:rFonts w:hint="default" w:ascii="Times New Roman" w:hAnsi="Times New Roman" w:cs="Times New Roman"/>
                <w:color w:val="000000"/>
                <w:sz w:val="28"/>
                <w:szCs w:val="28"/>
                <w:lang w:eastAsia="zh-CN"/>
              </w:rPr>
              <w:t>行动</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eastAsia="zh-CN"/>
              </w:rPr>
              <w:t>加快实</w:t>
            </w:r>
            <w:r>
              <w:rPr>
                <w:rFonts w:hint="default" w:ascii="Times New Roman" w:hAnsi="Times New Roman" w:eastAsia="宋体" w:cs="Times New Roman"/>
                <w:color w:val="000000"/>
                <w:sz w:val="28"/>
                <w:szCs w:val="28"/>
                <w:lang w:eastAsia="zh-CN"/>
              </w:rPr>
              <w:t>现</w:t>
            </w:r>
            <w:r>
              <w:rPr>
                <w:rFonts w:hint="eastAsia" w:ascii="Times New Roman" w:hAnsi="Times New Roman" w:eastAsia="宋体" w:cs="Times New Roman"/>
                <w:color w:val="000000"/>
                <w:sz w:val="28"/>
                <w:szCs w:val="28"/>
                <w:lang w:eastAsia="zh-CN"/>
              </w:rPr>
              <w:t>遂昌县化工园区</w:t>
            </w:r>
            <w:r>
              <w:rPr>
                <w:rFonts w:hint="default" w:ascii="Times New Roman" w:hAnsi="Times New Roman" w:eastAsia="宋体" w:cs="Times New Roman"/>
                <w:color w:val="000000"/>
                <w:sz w:val="28"/>
                <w:szCs w:val="28"/>
              </w:rPr>
              <w:t>安全风险等级降为较低安全风险</w:t>
            </w:r>
            <w:r>
              <w:rPr>
                <w:rFonts w:hint="eastAsia" w:ascii="Times New Roman" w:hAnsi="Times New Roman" w:eastAsia="宋体" w:cs="Times New Roman"/>
                <w:color w:val="000000"/>
                <w:sz w:val="28"/>
                <w:szCs w:val="28"/>
                <w:lang w:eastAsia="zh-CN"/>
              </w:rPr>
              <w:t>，丽水开发区化工园区通过应急部安全风险等级复核。</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rPr>
              <w:t>2023年底</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eastAsia="宋体" w:cs="Times New Roman"/>
                <w:color w:val="000000"/>
                <w:sz w:val="28"/>
                <w:szCs w:val="28"/>
                <w:lang w:eastAsia="zh-CN"/>
              </w:rPr>
              <w:t>危化品安全专委办</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发展改革委、</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经信</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公安</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建设</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交通运输</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自然资源</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生态环境</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消防救援</w:t>
            </w:r>
            <w:r>
              <w:rPr>
                <w:rFonts w:hint="eastAsia" w:ascii="Times New Roman" w:hAnsi="Times New Roman" w:cs="Times New Roman"/>
                <w:color w:val="000000"/>
                <w:sz w:val="28"/>
                <w:szCs w:val="28"/>
                <w:lang w:eastAsia="zh-CN"/>
              </w:rPr>
              <w:t>支</w:t>
            </w:r>
            <w:r>
              <w:rPr>
                <w:rFonts w:hint="default" w:ascii="Times New Roman" w:hAnsi="Times New Roman" w:cs="Times New Roman"/>
                <w:color w:val="000000"/>
                <w:sz w:val="28"/>
                <w:szCs w:val="28"/>
              </w:rPr>
              <w:t>队等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35"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3</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cs="Times New Roman"/>
                <w:b/>
                <w:bCs/>
                <w:color w:val="000000"/>
                <w:kern w:val="2"/>
                <w:sz w:val="28"/>
                <w:szCs w:val="28"/>
                <w:lang w:val="en-US" w:eastAsia="zh-CN" w:bidi="ar-SA"/>
              </w:rPr>
            </w:pPr>
            <w:r>
              <w:rPr>
                <w:rFonts w:hint="default" w:ascii="Times New Roman" w:hAnsi="Times New Roman" w:cs="Times New Roman"/>
                <w:b/>
                <w:bCs/>
                <w:color w:val="000000"/>
                <w:sz w:val="28"/>
                <w:szCs w:val="28"/>
              </w:rPr>
              <w:t>开展非许可化工医药企业安全专项整治。</w:t>
            </w:r>
            <w:r>
              <w:rPr>
                <w:rFonts w:hint="default" w:ascii="Times New Roman" w:hAnsi="Times New Roman" w:cs="Times New Roman"/>
                <w:color w:val="000000"/>
                <w:sz w:val="28"/>
                <w:szCs w:val="28"/>
              </w:rPr>
              <w:t>对使用危化品从事生产的非许可化工医药企业，分类开展设计诊断、安全评价和整改确</w:t>
            </w:r>
            <w:r>
              <w:rPr>
                <w:rFonts w:hint="default" w:ascii="Times New Roman" w:hAnsi="Times New Roman" w:eastAsia="宋体" w:cs="Times New Roman"/>
                <w:color w:val="000000"/>
                <w:sz w:val="28"/>
                <w:szCs w:val="28"/>
              </w:rPr>
              <w:t>认，涉及“一重点一重大”的非许可化工医药企业，严格落实全厂设计诊断和安全评价措施</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涉及火灾危险性分类为甲、乙类车间、仓库和罐区的非许可化工医药企业，相关车间、仓库和罐区开展设计诊断，并进行全厂安全评价；对其他企业，开展全厂安全评价，并出具符合要求的全厂总平面图和工艺设备布置图等</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推</w:t>
            </w:r>
            <w:r>
              <w:rPr>
                <w:rFonts w:hint="default" w:ascii="Times New Roman" w:hAnsi="Times New Roman" w:cs="Times New Roman"/>
                <w:color w:val="000000"/>
                <w:sz w:val="28"/>
                <w:szCs w:val="28"/>
              </w:rPr>
              <w:t>动提升企业安全管理能力</w:t>
            </w:r>
            <w:r>
              <w:rPr>
                <w:rFonts w:hint="default" w:ascii="Times New Roman" w:hAnsi="Times New Roman" w:cs="Times New Roman"/>
                <w:color w:val="000000"/>
                <w:sz w:val="28"/>
                <w:szCs w:val="28"/>
                <w:lang w:eastAsia="zh-CN"/>
              </w:rPr>
              <w:t>和</w:t>
            </w:r>
            <w:r>
              <w:rPr>
                <w:rFonts w:hint="default" w:ascii="Times New Roman" w:hAnsi="Times New Roman" w:cs="Times New Roman"/>
                <w:color w:val="000000"/>
                <w:sz w:val="28"/>
                <w:szCs w:val="28"/>
              </w:rPr>
              <w:t>本质安全水平。</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rPr>
              <w:t>2023年底</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83"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4</w:t>
            </w:r>
          </w:p>
        </w:tc>
        <w:tc>
          <w:tcPr>
            <w:tcW w:w="151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危化品</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r>
              <w:rPr>
                <w:rFonts w:hint="default" w:ascii="Times New Roman" w:hAnsi="Times New Roman" w:eastAsia="黑体" w:cs="Times New Roman"/>
                <w:b w:val="0"/>
                <w:bCs/>
                <w:color w:val="000000"/>
                <w:sz w:val="28"/>
                <w:szCs w:val="28"/>
              </w:rPr>
              <w:t>领域</w:t>
            </w: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eastAsia="宋体" w:cs="Times New Roman"/>
                <w:color w:val="000000"/>
                <w:kern w:val="2"/>
                <w:sz w:val="28"/>
                <w:szCs w:val="28"/>
                <w:lang w:val="en" w:eastAsia="zh-CN" w:bidi="ar-SA"/>
              </w:rPr>
            </w:pPr>
            <w:r>
              <w:rPr>
                <w:rFonts w:hint="default" w:ascii="Times New Roman" w:hAnsi="Times New Roman" w:cs="Times New Roman"/>
                <w:b/>
                <w:bCs/>
                <w:color w:val="000000"/>
                <w:sz w:val="28"/>
                <w:szCs w:val="28"/>
                <w:lang w:val="en"/>
              </w:rPr>
              <w:t>有效管控危化品重大危险源安全风险。</w:t>
            </w:r>
            <w:r>
              <w:rPr>
                <w:rFonts w:hint="default" w:ascii="Times New Roman" w:hAnsi="Times New Roman" w:eastAsia="宋体" w:cs="Times New Roman"/>
                <w:color w:val="000000"/>
                <w:sz w:val="28"/>
                <w:szCs w:val="28"/>
              </w:rPr>
              <w:t>督促全</w:t>
            </w:r>
            <w:r>
              <w:rPr>
                <w:rFonts w:hint="eastAsia" w:ascii="Times New Roman" w:hAnsi="Times New Roman" w:cs="Times New Roman"/>
                <w:color w:val="000000"/>
                <w:sz w:val="28"/>
                <w:szCs w:val="28"/>
                <w:lang w:eastAsia="zh-CN"/>
              </w:rPr>
              <w:t>市</w:t>
            </w:r>
            <w:r>
              <w:rPr>
                <w:rFonts w:hint="eastAsia" w:ascii="Times New Roman" w:hAnsi="Times New Roman" w:cs="Times New Roman"/>
                <w:color w:val="000000"/>
                <w:sz w:val="28"/>
                <w:szCs w:val="28"/>
                <w:lang w:val="en-US" w:eastAsia="zh-CN"/>
              </w:rPr>
              <w:t>6</w:t>
            </w:r>
            <w:r>
              <w:rPr>
                <w:rFonts w:hint="default" w:ascii="Times New Roman" w:hAnsi="Times New Roman" w:eastAsia="宋体" w:cs="Times New Roman"/>
                <w:color w:val="000000"/>
                <w:sz w:val="28"/>
                <w:szCs w:val="28"/>
              </w:rPr>
              <w:t>家危化品重大危险源企业</w:t>
            </w:r>
            <w:r>
              <w:rPr>
                <w:rFonts w:hint="default" w:ascii="Times New Roman" w:hAnsi="Times New Roman" w:eastAsia="宋体" w:cs="Times New Roman"/>
                <w:color w:val="000000"/>
                <w:sz w:val="28"/>
                <w:szCs w:val="28"/>
                <w:lang w:eastAsia="zh-CN"/>
              </w:rPr>
              <w:t>紧盯检查发现问题隐患，</w:t>
            </w:r>
            <w:r>
              <w:rPr>
                <w:rFonts w:hint="default" w:ascii="Times New Roman" w:hAnsi="Times New Roman" w:eastAsia="宋体" w:cs="Times New Roman"/>
                <w:color w:val="000000"/>
                <w:sz w:val="28"/>
                <w:szCs w:val="28"/>
              </w:rPr>
              <w:t>按照“五落实”要求限期整改</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确保问题隐患得到100%整改闭环</w:t>
            </w:r>
            <w:r>
              <w:rPr>
                <w:rFonts w:hint="default" w:ascii="Times New Roman" w:hAnsi="Times New Roman" w:eastAsia="宋体" w:cs="Times New Roman"/>
                <w:color w:val="000000"/>
                <w:sz w:val="28"/>
                <w:szCs w:val="28"/>
                <w:lang w:eastAsia="zh-CN"/>
              </w:rPr>
              <w:t>。</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lang w:val="en"/>
              </w:rPr>
              <w:t>2023年</w:t>
            </w:r>
            <w:r>
              <w:rPr>
                <w:rFonts w:hint="default" w:ascii="Times New Roman" w:hAnsi="Times New Roman" w:cs="Times New Roman"/>
                <w:color w:val="000000"/>
                <w:sz w:val="28"/>
                <w:szCs w:val="28"/>
              </w:rPr>
              <w:t>8</w:t>
            </w:r>
            <w:r>
              <w:rPr>
                <w:rFonts w:hint="default" w:ascii="Times New Roman" w:hAnsi="Times New Roman" w:cs="Times New Roman"/>
                <w:color w:val="000000"/>
                <w:sz w:val="28"/>
                <w:szCs w:val="28"/>
                <w:lang w:val="en"/>
              </w:rPr>
              <w:t>月底</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eastAsia" w:ascii="Times New Roman" w:hAnsi="Times New Roman" w:cs="Times New Roman"/>
                <w:color w:val="000000"/>
                <w:sz w:val="28"/>
                <w:szCs w:val="28"/>
                <w:lang w:val="en" w:eastAsia="zh-CN"/>
              </w:rPr>
              <w:t>市</w:t>
            </w:r>
            <w:r>
              <w:rPr>
                <w:rFonts w:hint="default" w:ascii="Times New Roman" w:hAnsi="Times New Roman" w:cs="Times New Roman"/>
                <w:color w:val="000000"/>
                <w:sz w:val="28"/>
                <w:szCs w:val="28"/>
                <w:lang w:val="en"/>
              </w:rPr>
              <w:t>应急管理</w:t>
            </w:r>
            <w:r>
              <w:rPr>
                <w:rFonts w:hint="eastAsia" w:ascii="Times New Roman" w:hAnsi="Times New Roman" w:cs="Times New Roman"/>
                <w:color w:val="000000"/>
                <w:sz w:val="28"/>
                <w:szCs w:val="28"/>
                <w:lang w:val="en" w:eastAsia="zh-CN"/>
              </w:rPr>
              <w:t>局</w:t>
            </w:r>
            <w:r>
              <w:rPr>
                <w:rFonts w:hint="default" w:ascii="Times New Roman" w:hAnsi="Times New Roman" w:cs="Times New Roman"/>
                <w:color w:val="000000"/>
                <w:sz w:val="28"/>
                <w:szCs w:val="28"/>
                <w:lang w:val="en"/>
              </w:rPr>
              <w:t>、</w:t>
            </w:r>
            <w:r>
              <w:rPr>
                <w:rFonts w:hint="eastAsia" w:ascii="Times New Roman" w:hAnsi="Times New Roman" w:cs="Times New Roman"/>
                <w:color w:val="000000"/>
                <w:sz w:val="28"/>
                <w:szCs w:val="28"/>
                <w:lang w:val="en" w:eastAsia="zh-CN"/>
              </w:rPr>
              <w:t>市</w:t>
            </w:r>
            <w:r>
              <w:rPr>
                <w:rFonts w:hint="default" w:ascii="Times New Roman" w:hAnsi="Times New Roman" w:cs="Times New Roman"/>
                <w:color w:val="000000"/>
                <w:sz w:val="28"/>
                <w:szCs w:val="28"/>
                <w:lang w:val="en"/>
              </w:rPr>
              <w:t>消防救援</w:t>
            </w:r>
            <w:r>
              <w:rPr>
                <w:rFonts w:hint="eastAsia" w:ascii="Times New Roman" w:hAnsi="Times New Roman" w:cs="Times New Roman"/>
                <w:color w:val="000000"/>
                <w:sz w:val="28"/>
                <w:szCs w:val="28"/>
                <w:lang w:val="en" w:eastAsia="zh-CN"/>
              </w:rPr>
              <w:t>支</w:t>
            </w:r>
            <w:r>
              <w:rPr>
                <w:rFonts w:hint="default" w:ascii="Times New Roman" w:hAnsi="Times New Roman" w:cs="Times New Roman"/>
                <w:color w:val="000000"/>
                <w:sz w:val="28"/>
                <w:szCs w:val="28"/>
                <w:lang w:val="en"/>
              </w:rPr>
              <w:t>队</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kern w:val="2"/>
                <w:sz w:val="28"/>
                <w:szCs w:val="28"/>
                <w:lang w:val="en-US" w:eastAsia="zh-CN" w:bidi="ar-SA"/>
              </w:rPr>
            </w:pP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5</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cs="Times New Roman"/>
                <w:color w:val="000000"/>
                <w:kern w:val="2"/>
                <w:sz w:val="28"/>
                <w:szCs w:val="28"/>
                <w:lang w:val="en" w:eastAsia="zh-CN" w:bidi="ar-SA"/>
              </w:rPr>
            </w:pPr>
            <w:r>
              <w:rPr>
                <w:rFonts w:hint="default" w:ascii="Times New Roman" w:hAnsi="Times New Roman" w:cs="Times New Roman"/>
                <w:b/>
                <w:bCs/>
                <w:color w:val="000000"/>
                <w:sz w:val="28"/>
                <w:szCs w:val="28"/>
              </w:rPr>
              <w:t>深化</w:t>
            </w:r>
            <w:r>
              <w:rPr>
                <w:rFonts w:hint="default" w:ascii="Times New Roman" w:hAnsi="Times New Roman" w:cs="Times New Roman"/>
                <w:b/>
                <w:bCs/>
                <w:color w:val="000000"/>
                <w:sz w:val="28"/>
                <w:szCs w:val="28"/>
                <w:lang w:val="en"/>
              </w:rPr>
              <w:t>双重预防机制数字化建设。</w:t>
            </w:r>
            <w:r>
              <w:rPr>
                <w:rFonts w:hint="default" w:ascii="Times New Roman" w:hAnsi="Times New Roman" w:cs="Times New Roman"/>
                <w:b w:val="0"/>
                <w:bCs w:val="0"/>
                <w:color w:val="000000"/>
                <w:sz w:val="28"/>
                <w:szCs w:val="28"/>
                <w:lang w:val="en"/>
              </w:rPr>
              <w:t>将双重预防机数字化建设推广至涉及重点监管危险化工工艺的危化品许可企业</w:t>
            </w:r>
            <w:r>
              <w:rPr>
                <w:rFonts w:hint="default" w:ascii="Times New Roman" w:hAnsi="Times New Roman" w:cs="Times New Roman"/>
                <w:b w:val="0"/>
                <w:bCs w:val="0"/>
                <w:color w:val="000000"/>
                <w:sz w:val="28"/>
                <w:szCs w:val="28"/>
                <w:lang w:val="en" w:eastAsia="zh-CN"/>
              </w:rPr>
              <w:t>，</w:t>
            </w:r>
            <w:r>
              <w:rPr>
                <w:rFonts w:hint="eastAsia" w:ascii="Times New Roman" w:hAnsi="Times New Roman" w:cs="Times New Roman"/>
                <w:b w:val="0"/>
                <w:bCs w:val="0"/>
                <w:color w:val="000000"/>
                <w:sz w:val="28"/>
                <w:szCs w:val="28"/>
                <w:lang w:val="en" w:eastAsia="zh-CN"/>
              </w:rPr>
              <w:t>化工园区（监控点）内生产企业原则上应进行双重预防机制数字化建设，</w:t>
            </w:r>
            <w:r>
              <w:rPr>
                <w:rFonts w:hint="default" w:ascii="Times New Roman" w:hAnsi="Times New Roman" w:cs="Times New Roman"/>
                <w:b w:val="0"/>
                <w:bCs w:val="0"/>
                <w:color w:val="000000"/>
                <w:sz w:val="28"/>
                <w:szCs w:val="28"/>
                <w:lang w:val="en" w:eastAsia="zh-CN"/>
              </w:rPr>
              <w:t>对建设不达标、建而不用、运行效果差的企业加强</w:t>
            </w:r>
            <w:r>
              <w:rPr>
                <w:rFonts w:hint="default" w:ascii="Times New Roman" w:hAnsi="Times New Roman" w:eastAsia="宋体" w:cs="Times New Roman"/>
                <w:color w:val="000000"/>
                <w:sz w:val="28"/>
                <w:szCs w:val="28"/>
                <w:lang w:eastAsia="zh-CN"/>
              </w:rPr>
              <w:t>反面案例通报与从严监管执法。</w:t>
            </w:r>
          </w:p>
        </w:tc>
        <w:tc>
          <w:tcPr>
            <w:tcW w:w="2182"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lang w:val="en"/>
              </w:rPr>
              <w:t>2023年底</w:t>
            </w:r>
          </w:p>
        </w:tc>
        <w:tc>
          <w:tcPr>
            <w:tcW w:w="1903" w:type="dxa"/>
            <w:noWrap w:val="0"/>
            <w:vAlign w:val="center"/>
          </w:tcPr>
          <w:p>
            <w:pPr>
              <w:keepNext w:val="0"/>
              <w:keepLines w:val="0"/>
              <w:pageBreakBefore w:val="0"/>
              <w:widowControl/>
              <w:kinsoku/>
              <w:wordWrap/>
              <w:overflowPunct/>
              <w:topLinePunct w:val="0"/>
              <w:autoSpaceDE/>
              <w:autoSpaceDN/>
              <w:bidi w:val="0"/>
              <w:spacing w:line="400" w:lineRule="exact"/>
              <w:jc w:val="center"/>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p>
        </w:tc>
        <w:tc>
          <w:tcPr>
            <w:tcW w:w="2474" w:type="dxa"/>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jc w:val="left"/>
              <w:rPr>
                <w:rFonts w:hint="default" w:ascii="Times New Roman" w:hAnsi="Times New Roman" w:cs="Times New Roman"/>
                <w:color w:val="000000"/>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6</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b/>
                <w:bCs/>
                <w:color w:val="000000"/>
                <w:sz w:val="28"/>
                <w:szCs w:val="28"/>
              </w:rPr>
              <w:t>持续开展重大事故隐患动态清零。</w:t>
            </w:r>
            <w:r>
              <w:rPr>
                <w:rFonts w:hint="default" w:ascii="Times New Roman" w:hAnsi="Times New Roman" w:cs="Times New Roman"/>
                <w:color w:val="000000"/>
                <w:sz w:val="28"/>
                <w:szCs w:val="28"/>
              </w:rPr>
              <w:t>有效</w:t>
            </w:r>
            <w:r>
              <w:rPr>
                <w:rFonts w:hint="default" w:ascii="Times New Roman" w:hAnsi="Times New Roman" w:eastAsia="宋体" w:cs="Times New Roman"/>
                <w:color w:val="000000"/>
                <w:sz w:val="28"/>
                <w:szCs w:val="28"/>
              </w:rPr>
              <w:t>管控特殊作业</w:t>
            </w:r>
            <w:r>
              <w:rPr>
                <w:rFonts w:hint="eastAsia"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岗位操作规程</w:t>
            </w:r>
            <w:r>
              <w:rPr>
                <w:rFonts w:hint="eastAsia" w:ascii="Times New Roman" w:hAnsi="Times New Roman" w:eastAsia="宋体" w:cs="Times New Roman"/>
                <w:color w:val="000000"/>
                <w:sz w:val="28"/>
                <w:szCs w:val="28"/>
                <w:lang w:eastAsia="zh-CN"/>
              </w:rPr>
              <w:t>、特种作业人员持证、</w:t>
            </w:r>
            <w:r>
              <w:rPr>
                <w:rFonts w:hint="default" w:ascii="Times New Roman" w:hAnsi="Times New Roman" w:eastAsia="宋体" w:cs="Times New Roman"/>
                <w:color w:val="000000"/>
                <w:sz w:val="28"/>
                <w:szCs w:val="28"/>
                <w:lang w:eastAsia="zh-CN"/>
              </w:rPr>
              <w:t>承包商管理</w:t>
            </w:r>
            <w:r>
              <w:rPr>
                <w:rFonts w:hint="default" w:ascii="Times New Roman" w:hAnsi="Times New Roman" w:eastAsia="宋体" w:cs="Times New Roman"/>
                <w:color w:val="000000"/>
                <w:sz w:val="28"/>
                <w:szCs w:val="28"/>
              </w:rPr>
              <w:t>等安全风险</w:t>
            </w:r>
            <w:r>
              <w:rPr>
                <w:rFonts w:hint="default" w:ascii="Times New Roman" w:hAnsi="Times New Roman" w:cs="Times New Roman"/>
                <w:color w:val="000000"/>
                <w:sz w:val="28"/>
                <w:szCs w:val="28"/>
              </w:rPr>
              <w:t>，实</w:t>
            </w:r>
            <w:r>
              <w:rPr>
                <w:rFonts w:hint="default" w:ascii="Times New Roman" w:hAnsi="Times New Roman" w:cs="Times New Roman"/>
                <w:color w:val="000000"/>
                <w:sz w:val="28"/>
                <w:szCs w:val="28"/>
                <w:lang w:eastAsia="zh-CN"/>
              </w:rPr>
              <w:t>行</w:t>
            </w:r>
            <w:r>
              <w:rPr>
                <w:rFonts w:hint="default" w:ascii="Times New Roman" w:hAnsi="Times New Roman" w:cs="Times New Roman"/>
                <w:color w:val="000000"/>
                <w:sz w:val="28"/>
                <w:szCs w:val="28"/>
              </w:rPr>
              <w:t>企业自查、市县核查和</w:t>
            </w:r>
            <w:r>
              <w:rPr>
                <w:rFonts w:hint="eastAsia" w:ascii="Times New Roman" w:hAnsi="Times New Roman" w:cs="Times New Roman"/>
                <w:color w:val="000000"/>
                <w:sz w:val="28"/>
                <w:szCs w:val="28"/>
                <w:lang w:eastAsia="zh-CN"/>
              </w:rPr>
              <w:t>上</w:t>
            </w:r>
            <w:r>
              <w:rPr>
                <w:rFonts w:hint="default" w:ascii="Times New Roman" w:hAnsi="Times New Roman" w:cs="Times New Roman"/>
                <w:color w:val="000000"/>
                <w:sz w:val="28"/>
                <w:szCs w:val="28"/>
              </w:rPr>
              <w:t>级抽查工作机制，实现重大事故隐患动态清零。</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rPr>
              <w:t>持续推进</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p>
        </w:tc>
        <w:tc>
          <w:tcPr>
            <w:tcW w:w="2474" w:type="dxa"/>
            <w:noWrap w:val="0"/>
            <w:vAlign w:val="center"/>
          </w:tcPr>
          <w:p>
            <w:pPr>
              <w:keepNext w:val="0"/>
              <w:keepLines w:val="0"/>
              <w:pageBreakBefore w:val="0"/>
              <w:widowControl/>
              <w:kinsoku/>
              <w:wordWrap/>
              <w:overflowPunct/>
              <w:topLinePunct w:val="0"/>
              <w:autoSpaceDE/>
              <w:autoSpaceDN/>
              <w:bidi w:val="0"/>
              <w:spacing w:line="400" w:lineRule="exact"/>
              <w:ind w:firstLine="560" w:firstLineChars="200"/>
              <w:jc w:val="left"/>
              <w:rPr>
                <w:rFonts w:hint="default" w:ascii="Times New Roman" w:hAnsi="Times New Roman" w:cs="Times New Roman"/>
                <w:color w:val="000000"/>
                <w:kern w:val="2"/>
                <w:sz w:val="28"/>
                <w:szCs w:val="2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20"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7</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pStyle w:val="2"/>
              <w:keepNext w:val="0"/>
              <w:keepLines w:val="0"/>
              <w:pageBreakBefore w:val="0"/>
              <w:widowControl/>
              <w:kinsoku/>
              <w:wordWrap/>
              <w:overflowPunct/>
              <w:topLinePunct w:val="0"/>
              <w:autoSpaceDE/>
              <w:autoSpaceDN/>
              <w:bidi w:val="0"/>
              <w:spacing w:line="440" w:lineRule="exact"/>
              <w:ind w:left="0" w:leftChars="0" w:firstLine="0" w:firstLineChars="0"/>
              <w:jc w:val="both"/>
              <w:rPr>
                <w:rFonts w:hint="default" w:ascii="Times New Roman" w:hAnsi="Times New Roman" w:cs="Times New Roman"/>
                <w:b/>
                <w:bCs/>
                <w:color w:val="000000"/>
                <w:kern w:val="2"/>
                <w:sz w:val="28"/>
                <w:szCs w:val="28"/>
                <w:lang w:val="en" w:eastAsia="zh-CN" w:bidi="ar-SA"/>
              </w:rPr>
            </w:pPr>
            <w:r>
              <w:rPr>
                <w:rFonts w:hint="default" w:ascii="Times New Roman" w:hAnsi="Times New Roman" w:cs="Times New Roman"/>
                <w:b/>
                <w:bCs/>
                <w:color w:val="000000"/>
                <w:sz w:val="28"/>
                <w:szCs w:val="28"/>
              </w:rPr>
              <w:t>持续开展危化品重点地区指导服务。</w:t>
            </w:r>
            <w:r>
              <w:rPr>
                <w:rFonts w:hint="default" w:ascii="Times New Roman" w:hAnsi="Times New Roman" w:eastAsia="宋体" w:cs="Times New Roman"/>
                <w:color w:val="000000"/>
                <w:kern w:val="2"/>
                <w:sz w:val="28"/>
                <w:szCs w:val="28"/>
                <w:lang w:val="en-US" w:eastAsia="zh-CN" w:bidi="ar-SA"/>
              </w:rPr>
              <w:t>建立危化品重点地区指导服务工作机制，对危化品重点地区、重点企业开展常态化指导服务。</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 w:eastAsia="zh-CN" w:bidi="ar-SA"/>
              </w:rPr>
            </w:pPr>
            <w:r>
              <w:rPr>
                <w:rFonts w:hint="default" w:ascii="Times New Roman" w:hAnsi="Times New Roman" w:cs="Times New Roman"/>
                <w:color w:val="000000"/>
                <w:sz w:val="28"/>
                <w:szCs w:val="28"/>
              </w:rPr>
              <w:t>持续推进</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宋体" w:cs="Times New Roman"/>
                <w:color w:val="000000"/>
                <w:kern w:val="2"/>
                <w:sz w:val="28"/>
                <w:szCs w:val="28"/>
                <w:lang w:val="en"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65"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8</w:t>
            </w:r>
          </w:p>
        </w:tc>
        <w:tc>
          <w:tcPr>
            <w:tcW w:w="1514"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val="0"/>
                <w:bCs/>
                <w:color w:val="000000"/>
                <w:sz w:val="28"/>
                <w:szCs w:val="28"/>
              </w:rPr>
            </w:pPr>
            <w:r>
              <w:rPr>
                <w:rFonts w:hint="default" w:ascii="Times New Roman" w:hAnsi="Times New Roman" w:eastAsia="黑体" w:cs="Times New Roman"/>
                <w:b w:val="0"/>
                <w:bCs/>
                <w:color w:val="000000"/>
                <w:sz w:val="28"/>
                <w:szCs w:val="28"/>
              </w:rPr>
              <w:t>危化品</w:t>
            </w:r>
          </w:p>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r>
              <w:rPr>
                <w:rFonts w:hint="default" w:ascii="Times New Roman" w:hAnsi="Times New Roman" w:eastAsia="黑体" w:cs="Times New Roman"/>
                <w:b w:val="0"/>
                <w:bCs/>
                <w:color w:val="000000"/>
                <w:sz w:val="28"/>
                <w:szCs w:val="28"/>
              </w:rPr>
              <w:t>领域</w:t>
            </w: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cs="Times New Roman"/>
                <w:color w:val="000000"/>
                <w:kern w:val="2"/>
                <w:sz w:val="28"/>
                <w:szCs w:val="28"/>
                <w:lang w:val="en" w:eastAsia="zh-CN" w:bidi="ar-SA"/>
              </w:rPr>
            </w:pPr>
            <w:r>
              <w:rPr>
                <w:rFonts w:hint="default" w:ascii="Times New Roman" w:hAnsi="Times New Roman" w:cs="Times New Roman"/>
                <w:b/>
                <w:bCs/>
                <w:color w:val="000000"/>
                <w:sz w:val="28"/>
                <w:szCs w:val="28"/>
              </w:rPr>
              <w:t>加强危化品建设项目源头把控</w:t>
            </w:r>
            <w:r>
              <w:rPr>
                <w:rFonts w:hint="default" w:ascii="Times New Roman" w:hAnsi="Times New Roman" w:cs="Times New Roman"/>
                <w:color w:val="000000"/>
                <w:sz w:val="28"/>
                <w:szCs w:val="28"/>
              </w:rPr>
              <w:t>。实施危化品建设项目决策咨询制度，协调把关危化品生产建设项目落地安全条件。</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default" w:ascii="Times New Roman" w:hAnsi="Times New Roman" w:cs="Times New Roman"/>
                <w:color w:val="000000"/>
                <w:sz w:val="28"/>
                <w:szCs w:val="28"/>
              </w:rPr>
              <w:t>持续推进</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发展改革委</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kern w:val="2"/>
                <w:sz w:val="28"/>
                <w:szCs w:val="28"/>
                <w:lang w:val="en"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生态环境</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经信</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00"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sz w:val="28"/>
                <w:szCs w:val="28"/>
                <w:lang w:val="en-US" w:eastAsia="zh-CN"/>
              </w:rPr>
            </w:pPr>
            <w:r>
              <w:rPr>
                <w:rFonts w:hint="default" w:ascii="Times New Roman" w:hAnsi="Times New Roman" w:eastAsia="宋体" w:cs="Times New Roman"/>
                <w:color w:val="000000"/>
                <w:sz w:val="28"/>
                <w:szCs w:val="28"/>
                <w:lang w:val="en-US" w:eastAsia="zh-CN"/>
              </w:rPr>
              <w:t>9</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sz w:val="28"/>
                <w:szCs w:val="28"/>
              </w:rPr>
            </w:pPr>
          </w:p>
        </w:tc>
        <w:tc>
          <w:tcPr>
            <w:tcW w:w="5276" w:type="dxa"/>
            <w:noWrap w:val="0"/>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0" w:beforeAutospacing="0" w:after="0" w:afterAutospacing="0" w:line="440" w:lineRule="exact"/>
              <w:ind w:right="0"/>
              <w:jc w:val="left"/>
              <w:textAlignment w:val="baseline"/>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eastAsia="宋体" w:cs="Times New Roman"/>
                <w:b/>
                <w:bCs/>
                <w:color w:val="000000"/>
                <w:kern w:val="2"/>
                <w:sz w:val="28"/>
                <w:szCs w:val="28"/>
                <w:lang w:val="en-US" w:eastAsia="zh-CN" w:bidi="ar-SA"/>
              </w:rPr>
              <w:t>持续强化危化品“打非治违”。</w:t>
            </w:r>
            <w:r>
              <w:rPr>
                <w:rFonts w:hint="default" w:ascii="Times New Roman" w:hAnsi="Times New Roman" w:eastAsia="宋体" w:cs="Times New Roman"/>
                <w:b w:val="0"/>
                <w:bCs w:val="0"/>
                <w:color w:val="000000"/>
                <w:kern w:val="2"/>
                <w:sz w:val="28"/>
                <w:szCs w:val="28"/>
                <w:lang w:val="en-US" w:eastAsia="zh-CN" w:bidi="ar-SA"/>
              </w:rPr>
              <w:t>按照《浙江省非法违法“小化工”专项整治实施方案》（浙安委〔2020〕17号）要求，完善“打非治违”工作机制，加大对非法违法生产、经营危险化学品行为打击力度，持续保持“打非治违”高压态势。</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持续推进</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eastAsia="宋体" w:cs="Times New Roman"/>
                <w:color w:val="000000"/>
                <w:sz w:val="28"/>
                <w:szCs w:val="28"/>
                <w:lang w:eastAsia="zh-CN"/>
              </w:rPr>
              <w:t>危化品安全专委办</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sz w:val="28"/>
                <w:szCs w:val="28"/>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应急管理</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公安</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交通运输</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生态环境</w:t>
            </w:r>
            <w:r>
              <w:rPr>
                <w:rFonts w:hint="eastAsia" w:ascii="Times New Roman" w:hAnsi="Times New Roman" w:cs="Times New Roman"/>
                <w:color w:val="000000"/>
                <w:sz w:val="28"/>
                <w:szCs w:val="28"/>
                <w:lang w:eastAsia="zh-CN"/>
              </w:rPr>
              <w:t>局</w:t>
            </w:r>
            <w:r>
              <w:rPr>
                <w:rFonts w:hint="default" w:ascii="Times New Roman" w:hAnsi="Times New Roman" w:cs="Times New Roman"/>
                <w:color w:val="000000"/>
                <w:sz w:val="28"/>
                <w:szCs w:val="28"/>
                <w:lang w:eastAsia="zh-CN"/>
              </w:rPr>
              <w:t>、</w:t>
            </w: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lang w:eastAsia="zh-CN"/>
              </w:rPr>
              <w:t>市场监管局</w:t>
            </w:r>
            <w:r>
              <w:rPr>
                <w:rFonts w:hint="default" w:ascii="Times New Roman" w:hAnsi="Times New Roman" w:cs="Times New Roman"/>
                <w:color w:val="000000"/>
                <w:sz w:val="28"/>
                <w:szCs w:val="28"/>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30" w:hRule="atLeast"/>
        </w:trPr>
        <w:tc>
          <w:tcPr>
            <w:tcW w:w="720"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lang w:val="en-US" w:eastAsia="zh-CN"/>
              </w:rPr>
              <w:t>10</w:t>
            </w:r>
          </w:p>
        </w:tc>
        <w:tc>
          <w:tcPr>
            <w:tcW w:w="1514" w:type="dxa"/>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黑体" w:cs="Times New Roman"/>
                <w:b/>
                <w:color w:val="000000"/>
                <w:kern w:val="2"/>
                <w:sz w:val="28"/>
                <w:szCs w:val="28"/>
                <w:lang w:val="en-US" w:eastAsia="zh-CN" w:bidi="ar-SA"/>
              </w:rPr>
            </w:pPr>
          </w:p>
        </w:tc>
        <w:tc>
          <w:tcPr>
            <w:tcW w:w="5276"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textAlignment w:val="center"/>
              <w:rPr>
                <w:rFonts w:hint="default" w:ascii="Times New Roman" w:hAnsi="Times New Roman" w:eastAsia="宋体" w:cs="Times New Roman"/>
                <w:b/>
                <w:bCs/>
                <w:color w:val="000000"/>
                <w:kern w:val="2"/>
                <w:sz w:val="28"/>
                <w:szCs w:val="28"/>
                <w:lang w:val="en-US" w:eastAsia="zh-CN" w:bidi="ar-SA"/>
              </w:rPr>
            </w:pPr>
            <w:r>
              <w:rPr>
                <w:rFonts w:hint="default" w:ascii="Times New Roman" w:hAnsi="Times New Roman" w:cs="Times New Roman"/>
                <w:b/>
                <w:bCs/>
                <w:color w:val="000000"/>
                <w:sz w:val="28"/>
                <w:szCs w:val="28"/>
              </w:rPr>
              <w:t>提升数字化监管效能。</w:t>
            </w:r>
            <w:r>
              <w:rPr>
                <w:rFonts w:hint="default" w:ascii="Times New Roman" w:hAnsi="Times New Roman" w:eastAsia="宋体" w:cs="Times New Roman"/>
                <w:color w:val="000000"/>
                <w:sz w:val="28"/>
                <w:szCs w:val="28"/>
                <w:lang w:eastAsia="zh-CN"/>
              </w:rPr>
              <w:t>推动</w:t>
            </w:r>
            <w:r>
              <w:rPr>
                <w:rFonts w:hint="default" w:ascii="Times New Roman" w:hAnsi="Times New Roman" w:eastAsia="宋体" w:cs="Times New Roman"/>
                <w:color w:val="000000"/>
                <w:sz w:val="28"/>
                <w:szCs w:val="28"/>
              </w:rPr>
              <w:t>涉及一级重大危险源的危化品许可企业完成安全智控平台建设</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高效运行</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危化品全生命周期安全在线</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color w:val="000000"/>
                <w:sz w:val="28"/>
                <w:szCs w:val="28"/>
              </w:rPr>
              <w:t>风险线上监测、预警和线下处置、闭环</w:t>
            </w:r>
            <w:r>
              <w:rPr>
                <w:rFonts w:hint="default" w:ascii="Times New Roman" w:hAnsi="Times New Roman" w:eastAsia="宋体" w:cs="Times New Roman"/>
                <w:color w:val="000000"/>
                <w:sz w:val="28"/>
                <w:szCs w:val="28"/>
                <w:lang w:eastAsia="zh-CN"/>
              </w:rPr>
              <w:t>整改等</w:t>
            </w:r>
            <w:r>
              <w:rPr>
                <w:rFonts w:hint="default" w:ascii="Times New Roman" w:hAnsi="Times New Roman" w:eastAsia="宋体" w:cs="Times New Roman"/>
                <w:color w:val="000000"/>
                <w:sz w:val="28"/>
                <w:szCs w:val="28"/>
              </w:rPr>
              <w:t>机制，提升风险精密智控能力</w:t>
            </w:r>
            <w:r>
              <w:rPr>
                <w:rFonts w:hint="default" w:ascii="Times New Roman" w:hAnsi="Times New Roman" w:eastAsia="宋体" w:cs="Times New Roman"/>
                <w:color w:val="000000"/>
                <w:sz w:val="28"/>
                <w:szCs w:val="28"/>
                <w:lang w:eastAsia="zh-CN"/>
              </w:rPr>
              <w:t>。</w:t>
            </w:r>
          </w:p>
        </w:tc>
        <w:tc>
          <w:tcPr>
            <w:tcW w:w="2182"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default" w:ascii="Times New Roman" w:hAnsi="Times New Roman" w:eastAsia="宋体" w:cs="Times New Roman"/>
                <w:color w:val="000000"/>
                <w:kern w:val="2"/>
                <w:sz w:val="28"/>
                <w:szCs w:val="28"/>
                <w:lang w:val="en-US" w:eastAsia="zh-CN" w:bidi="ar-SA"/>
              </w:rPr>
            </w:pPr>
            <w:r>
              <w:rPr>
                <w:rFonts w:hint="default" w:ascii="Times New Roman" w:hAnsi="Times New Roman" w:cs="Times New Roman"/>
                <w:color w:val="000000"/>
                <w:sz w:val="28"/>
                <w:szCs w:val="28"/>
              </w:rPr>
              <w:t>持续推进</w:t>
            </w:r>
          </w:p>
        </w:tc>
        <w:tc>
          <w:tcPr>
            <w:tcW w:w="1903"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hint="eastAsia" w:ascii="Times New Roman" w:hAnsi="Times New Roman" w:eastAsia="宋体" w:cs="Times New Roman"/>
                <w:color w:val="000000"/>
                <w:kern w:val="2"/>
                <w:sz w:val="28"/>
                <w:szCs w:val="28"/>
                <w:lang w:val="en-US" w:eastAsia="zh-CN" w:bidi="ar-SA"/>
              </w:rPr>
            </w:pPr>
            <w:r>
              <w:rPr>
                <w:rFonts w:hint="eastAsia" w:ascii="Times New Roman" w:hAnsi="Times New Roman" w:cs="Times New Roman"/>
                <w:color w:val="000000"/>
                <w:sz w:val="28"/>
                <w:szCs w:val="28"/>
                <w:lang w:eastAsia="zh-CN"/>
              </w:rPr>
              <w:t>市</w:t>
            </w:r>
            <w:r>
              <w:rPr>
                <w:rFonts w:hint="default" w:ascii="Times New Roman" w:hAnsi="Times New Roman" w:cs="Times New Roman"/>
                <w:color w:val="000000"/>
                <w:sz w:val="28"/>
                <w:szCs w:val="28"/>
              </w:rPr>
              <w:t>应</w:t>
            </w:r>
            <w:bookmarkStart w:id="1" w:name="_GoBack"/>
            <w:bookmarkEnd w:id="1"/>
            <w:r>
              <w:rPr>
                <w:rFonts w:hint="default" w:ascii="Times New Roman" w:hAnsi="Times New Roman" w:cs="Times New Roman"/>
                <w:color w:val="000000"/>
                <w:sz w:val="28"/>
                <w:szCs w:val="28"/>
              </w:rPr>
              <w:t>急管理</w:t>
            </w:r>
            <w:r>
              <w:rPr>
                <w:rFonts w:hint="eastAsia" w:ascii="Times New Roman" w:hAnsi="Times New Roman" w:cs="Times New Roman"/>
                <w:color w:val="000000"/>
                <w:sz w:val="28"/>
                <w:szCs w:val="28"/>
                <w:lang w:eastAsia="zh-CN"/>
              </w:rPr>
              <w:t>局</w:t>
            </w:r>
          </w:p>
        </w:tc>
        <w:tc>
          <w:tcPr>
            <w:tcW w:w="2474" w:type="dxa"/>
            <w:noWrap w:val="0"/>
            <w:vAlign w:val="center"/>
          </w:tcPr>
          <w:p>
            <w:pPr>
              <w:keepNext w:val="0"/>
              <w:keepLines w:val="0"/>
              <w:pageBreakBefore w:val="0"/>
              <w:widowControl/>
              <w:kinsoku/>
              <w:wordWrap/>
              <w:overflowPunct/>
              <w:topLinePunct w:val="0"/>
              <w:autoSpaceDE/>
              <w:autoSpaceDN/>
              <w:bidi w:val="0"/>
              <w:adjustRightInd w:val="0"/>
              <w:snapToGrid w:val="0"/>
              <w:spacing w:line="400" w:lineRule="exact"/>
              <w:textAlignment w:val="center"/>
              <w:rPr>
                <w:rFonts w:hint="default" w:ascii="Times New Roman" w:hAnsi="Times New Roman" w:cs="Times New Roman"/>
                <w:color w:val="000000"/>
                <w:kern w:val="2"/>
                <w:sz w:val="28"/>
                <w:szCs w:val="28"/>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2683C"/>
    <w:rsid w:val="105B2968"/>
    <w:rsid w:val="10EC1378"/>
    <w:rsid w:val="164E24C4"/>
    <w:rsid w:val="19E406A6"/>
    <w:rsid w:val="1A7B77A7"/>
    <w:rsid w:val="1C06767A"/>
    <w:rsid w:val="1D42683C"/>
    <w:rsid w:val="2DE64550"/>
    <w:rsid w:val="301258FE"/>
    <w:rsid w:val="31C87717"/>
    <w:rsid w:val="3DE67500"/>
    <w:rsid w:val="40DC5A29"/>
    <w:rsid w:val="432B5643"/>
    <w:rsid w:val="4471523E"/>
    <w:rsid w:val="4D202A84"/>
    <w:rsid w:val="51473869"/>
    <w:rsid w:val="56E14640"/>
    <w:rsid w:val="5B0855C2"/>
    <w:rsid w:val="67993CA7"/>
    <w:rsid w:val="74B71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jc w:val="center"/>
    </w:pPr>
    <w:rPr>
      <w:sz w:val="28"/>
      <w:szCs w:val="20"/>
    </w:rPr>
  </w:style>
  <w:style w:type="paragraph" w:styleId="3">
    <w:name w:val="Body Text"/>
    <w:basedOn w:val="1"/>
    <w:next w:val="2"/>
    <w:qFormat/>
    <w:uiPriority w:val="0"/>
    <w:pPr>
      <w:spacing w:before="0" w:after="140" w:line="276" w:lineRule="auto"/>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2023-07-18T07:37:00Z</dcterms:created>
  <dc:creator>尹志强</dc:creator>
  <cp:lastModifiedBy>尹志强</cp:lastModifiedBy>
  <dcterms:modified xsi:type="dcterms:W3CDTF">2023-07-20T03:22:05Z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