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遂昌县</w:t>
      </w:r>
      <w:r>
        <w:rPr>
          <w:rFonts w:hint="eastAsia" w:ascii="方正小标宋简体" w:hAnsi="Times New Roman" w:eastAsia="方正小标宋简体"/>
          <w:sz w:val="44"/>
          <w:szCs w:val="44"/>
        </w:rPr>
        <w:t>中小学班主任基本功大赛暨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Times New Roman" w:eastAsia="方正小标宋简体"/>
          <w:sz w:val="44"/>
          <w:szCs w:val="44"/>
        </w:rPr>
        <w:t>赛选拔赛四个模块具体要求和评分原则</w:t>
      </w:r>
    </w:p>
    <w:p>
      <w:pPr>
        <w:spacing w:line="580" w:lineRule="exact"/>
        <w:ind w:firstLine="0" w:firstLineChars="0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一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具体要求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hAnsi="Times New Roman" w:eastAsia="楷体_GB2312"/>
          <w:b w:val="0"/>
          <w:bCs w:val="0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（一）育人故事（权重15%）</w:t>
      </w:r>
    </w:p>
    <w:p>
      <w:pPr>
        <w:spacing w:line="58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  <w:r>
        <w:rPr>
          <w:rFonts w:ascii="Times New Roman" w:hAnsi="Times New Roman" w:eastAsia="仿宋_GB2312"/>
          <w:b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sz w:val="32"/>
          <w:szCs w:val="32"/>
        </w:rPr>
        <w:t>内容要求</w:t>
      </w:r>
    </w:p>
    <w:p>
      <w:pPr>
        <w:spacing w:line="58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以爱岗敬业、价值观教育、班级管理、师生沟通、家校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社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共育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、劳动教育、课后服务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等为切入点讲述自身工作中的育人故事，结合新时期学生成长过程中的新情况、新变化，彰显班主任人格魅力，体现班主任的专业素养和教育情怀。</w:t>
      </w:r>
    </w:p>
    <w:p>
      <w:pPr>
        <w:spacing w:line="58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2.材料要求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育人故事文本。主题明确、情节完整、结构合理，以第一人称撰写，能够激励人心、引发共鸣，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字左右。文中不出现相关县（市、区）、单位、姓名等信息。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育人故事视频。视频应与文本主题一致，以讲故事形式呈现，画面和声音清晰，以第一人称流畅叙述。时长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5-10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bCs w:val="0"/>
          <w:color w:val="000000"/>
          <w:sz w:val="32"/>
          <w:szCs w:val="32"/>
        </w:rPr>
        <w:t>（二）带班育人方略（权重15%）</w:t>
      </w:r>
    </w:p>
    <w:p>
      <w:pPr>
        <w:spacing w:line="58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 xml:space="preserve"> 1.内容要求</w:t>
      </w:r>
    </w:p>
    <w:p>
      <w:pPr>
        <w:spacing w:line="58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spacing w:line="58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2.材料要求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带班育人方略文本。包括育人理念、班情分析、班级发展目标、实践做法、特色和成效等内容。理念遵循育人规律，目标符合学情、明确具体，实践做法体现系统性和针对性，特色突出、可操作性强，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字左右。文中不出现相关县（市、区）、单位、姓名等信息。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带班育人方略视频。围绕文本内容，以第一人称展示班级育人工作，将音视频素材等相关材料按照方略文本结构进行梳理，突出班级建设的育人特色。时长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5-10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楷体_GB2312"/>
          <w:b w:val="0"/>
          <w:bCs w:val="0"/>
          <w:sz w:val="32"/>
          <w:szCs w:val="32"/>
        </w:rPr>
        <w:t>（三）主题班会（权重35%）</w:t>
      </w:r>
    </w:p>
    <w:p>
      <w:pPr>
        <w:spacing w:line="5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1.内容要求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落实《新时代爱国主义教育实施纲要》《中小学德育工作指南》等文件要求，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重点关注红色教育、优秀传统文化、公民道德教育、礼仪教育、生态文明教育、新时代英雄模范人物等方面，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引导学生践行社会主义核心价值观，树立正确的理想信念，养成良好的思想品德和行为习惯。</w:t>
      </w:r>
    </w:p>
    <w:p>
      <w:pPr>
        <w:spacing w:line="5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2.材料要求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字左右。文中不出现相关县（市、区）、单位、姓名等信息。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主题班会实录视频。小学不超过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分钟，中学不超过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3"/>
        <w:rPr>
          <w:rFonts w:hint="eastAsia" w:ascii="楷体_GB2312" w:hAnsi="Times New Roman" w:eastAsia="楷体_GB2312"/>
          <w:b w:val="0"/>
          <w:bCs w:val="0"/>
          <w:sz w:val="32"/>
          <w:szCs w:val="32"/>
        </w:rPr>
      </w:pPr>
      <w:r>
        <w:rPr>
          <w:rFonts w:hint="eastAsia" w:ascii="楷体_GB2312" w:hAnsi="Times New Roman" w:eastAsia="楷体_GB2312"/>
          <w:b w:val="0"/>
          <w:bCs w:val="0"/>
          <w:sz w:val="32"/>
          <w:szCs w:val="32"/>
        </w:rPr>
        <w:t>（四）情景模拟（权重35%）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要求选手在规定时间内完成教育情境模拟。采用当场抽签的方式，参赛选手根据题目提供的假定教育情境，通过和助演互动完成“班主任角色”表演，提出解决问题的策略和方法，展现教育理念和教育智慧。面试时间每人不超过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15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分钟，其中场外准备时间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分钟，角色表演时间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阐述时间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分钟，评委提问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sz w:val="32"/>
          <w:szCs w:val="32"/>
          <w:shd w:val="clear" w:color="auto" w:fill="FFFFFF"/>
        </w:rPr>
        <w:t>二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、评分原则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（一）育人故事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</w:rPr>
        <w:t>评分原则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主题明确</w:t>
      </w:r>
      <w:r>
        <w:rPr>
          <w:rFonts w:ascii="仿宋_GB2312" w:hAnsi="仿宋" w:eastAsia="仿宋_GB2312" w:cs="仿宋"/>
          <w:sz w:val="32"/>
          <w:szCs w:val="32"/>
        </w:rPr>
        <w:t>：围绕</w:t>
      </w:r>
      <w:r>
        <w:rPr>
          <w:rFonts w:hint="eastAsia" w:ascii="仿宋_GB2312" w:hAnsi="仿宋" w:eastAsia="仿宋_GB2312" w:cs="仿宋"/>
          <w:sz w:val="32"/>
          <w:szCs w:val="32"/>
        </w:rPr>
        <w:t>爱岗敬业、价值观教育、班级管理、师生沟通、家校共育等</w:t>
      </w:r>
      <w:r>
        <w:rPr>
          <w:rFonts w:ascii="仿宋_GB2312" w:hAnsi="仿宋" w:eastAsia="仿宋_GB2312" w:cs="仿宋"/>
          <w:sz w:val="32"/>
          <w:szCs w:val="32"/>
        </w:rPr>
        <w:t>展开，能</w:t>
      </w:r>
      <w:r>
        <w:rPr>
          <w:rFonts w:hint="eastAsia" w:ascii="仿宋_GB2312" w:hAnsi="仿宋" w:eastAsia="仿宋_GB2312" w:cs="仿宋"/>
          <w:sz w:val="32"/>
          <w:szCs w:val="32"/>
        </w:rPr>
        <w:t>彰显班主任人格魅力，体现班主任的专业素养和教育情怀</w:t>
      </w:r>
      <w:r>
        <w:rPr>
          <w:rFonts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情节完整</w:t>
      </w:r>
      <w:r>
        <w:rPr>
          <w:rFonts w:ascii="仿宋_GB2312" w:hAnsi="仿宋" w:eastAsia="仿宋_GB2312" w:cs="仿宋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有</w:t>
      </w:r>
      <w:r>
        <w:rPr>
          <w:rFonts w:ascii="仿宋_GB2312" w:hAnsi="仿宋" w:eastAsia="仿宋_GB2312" w:cs="仿宋"/>
          <w:sz w:val="32"/>
          <w:szCs w:val="32"/>
        </w:rPr>
        <w:t>完整的故事</w:t>
      </w:r>
      <w:r>
        <w:rPr>
          <w:rFonts w:hint="eastAsia" w:ascii="仿宋_GB2312" w:hAnsi="仿宋" w:eastAsia="仿宋_GB2312" w:cs="仿宋"/>
          <w:sz w:val="32"/>
          <w:szCs w:val="32"/>
        </w:rPr>
        <w:t>情节</w:t>
      </w:r>
      <w:r>
        <w:rPr>
          <w:rFonts w:ascii="仿宋_GB2312" w:hAnsi="仿宋" w:eastAsia="仿宋_GB2312" w:cs="仿宋"/>
          <w:sz w:val="32"/>
          <w:szCs w:val="32"/>
        </w:rPr>
        <w:t>，语言生动，能激励人心，</w:t>
      </w:r>
      <w:r>
        <w:rPr>
          <w:rFonts w:hint="eastAsia" w:ascii="仿宋_GB2312" w:hAnsi="仿宋" w:eastAsia="仿宋_GB2312" w:cs="仿宋"/>
          <w:sz w:val="32"/>
          <w:szCs w:val="32"/>
        </w:rPr>
        <w:t>引发</w:t>
      </w:r>
      <w:r>
        <w:rPr>
          <w:rFonts w:ascii="仿宋_GB2312" w:hAnsi="仿宋" w:eastAsia="仿宋_GB2312" w:cs="仿宋"/>
          <w:sz w:val="32"/>
          <w:szCs w:val="32"/>
        </w:rPr>
        <w:t>共鸣。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结构合理</w:t>
      </w:r>
      <w:r>
        <w:rPr>
          <w:rFonts w:ascii="仿宋_GB2312" w:hAnsi="仿宋" w:eastAsia="仿宋_GB2312" w:cs="仿宋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视频应与文本主题一致，以讲故事形式呈现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能</w:t>
      </w:r>
      <w:r>
        <w:rPr>
          <w:rFonts w:ascii="仿宋_GB2312" w:hAnsi="仿宋" w:eastAsia="仿宋_GB2312" w:cs="仿宋"/>
          <w:sz w:val="32"/>
          <w:szCs w:val="32"/>
        </w:rPr>
        <w:t>突出重点内容。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4.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视频</w:t>
      </w:r>
      <w:r>
        <w:rPr>
          <w:rFonts w:ascii="仿宋_GB2312" w:hAnsi="仿宋" w:eastAsia="仿宋_GB2312" w:cs="仿宋"/>
          <w:b/>
          <w:bCs/>
          <w:sz w:val="32"/>
          <w:szCs w:val="32"/>
        </w:rPr>
        <w:t>清晰：</w:t>
      </w:r>
      <w:r>
        <w:rPr>
          <w:rFonts w:hint="eastAsia" w:ascii="仿宋_GB2312" w:hAnsi="仿宋" w:eastAsia="仿宋_GB2312" w:cs="仿宋"/>
          <w:sz w:val="32"/>
          <w:szCs w:val="32"/>
        </w:rPr>
        <w:t>画面和声音清晰，以第一人称流畅叙述。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楷体_GB2312"/>
          <w:b w:val="0"/>
          <w:bCs w:val="0"/>
          <w:sz w:val="32"/>
          <w:szCs w:val="32"/>
        </w:rPr>
        <w:t>二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）带班育人方略评分原则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科学性：</w:t>
      </w:r>
      <w:r>
        <w:rPr>
          <w:rFonts w:ascii="仿宋_GB2312" w:hAnsi="仿宋" w:eastAsia="仿宋_GB2312" w:cs="仿宋"/>
          <w:sz w:val="32"/>
          <w:szCs w:val="32"/>
        </w:rPr>
        <w:t>遵循</w:t>
      </w:r>
      <w:r>
        <w:rPr>
          <w:rFonts w:hint="eastAsia" w:ascii="仿宋_GB2312" w:hAnsi="仿宋" w:eastAsia="仿宋_GB2312" w:cs="仿宋"/>
          <w:sz w:val="32"/>
          <w:szCs w:val="32"/>
        </w:rPr>
        <w:t>学生的成长规律和</w:t>
      </w:r>
      <w:r>
        <w:rPr>
          <w:rFonts w:ascii="仿宋_GB2312" w:hAnsi="仿宋" w:eastAsia="仿宋_GB2312" w:cs="仿宋"/>
          <w:sz w:val="32"/>
          <w:szCs w:val="32"/>
        </w:rPr>
        <w:t>教育规律，具有先进的教育思想和科学的教育理论支撑。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创新性：</w:t>
      </w:r>
      <w:r>
        <w:rPr>
          <w:rFonts w:hint="eastAsia" w:ascii="仿宋_GB2312" w:hAnsi="仿宋" w:eastAsia="仿宋_GB2312" w:cs="仿宋"/>
          <w:sz w:val="32"/>
          <w:szCs w:val="32"/>
        </w:rPr>
        <w:t>班主任工作</w:t>
      </w:r>
      <w:r>
        <w:rPr>
          <w:rFonts w:ascii="仿宋_GB2312" w:hAnsi="仿宋" w:eastAsia="仿宋_GB2312" w:cs="仿宋"/>
          <w:sz w:val="32"/>
          <w:szCs w:val="32"/>
        </w:rPr>
        <w:t>教育方法和形式富有创意，有独到的见解。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推广性</w:t>
      </w:r>
      <w:r>
        <w:rPr>
          <w:rFonts w:ascii="仿宋_GB2312" w:hAnsi="仿宋" w:eastAsia="仿宋_GB2312" w:cs="仿宋"/>
          <w:b/>
          <w:bCs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能结合理论和实践说明问题，</w:t>
      </w:r>
      <w:r>
        <w:rPr>
          <w:rFonts w:ascii="仿宋_GB2312" w:hAnsi="仿宋" w:eastAsia="仿宋_GB2312" w:cs="仿宋"/>
          <w:sz w:val="32"/>
          <w:szCs w:val="32"/>
        </w:rPr>
        <w:t>总结的经验和做法有借鉴意义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推广价值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</w:t>
      </w:r>
      <w:r>
        <w:rPr>
          <w:rFonts w:hint="default" w:ascii="Times New Roman" w:hAnsi="Times New Roman" w:eastAsia="楷体_GB2312"/>
          <w:b w:val="0"/>
          <w:bCs w:val="0"/>
          <w:sz w:val="32"/>
          <w:szCs w:val="32"/>
        </w:rPr>
        <w:t>三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）</w:t>
      </w:r>
      <w:r>
        <w:rPr>
          <w:rFonts w:hint="default" w:ascii="Times New Roman" w:hAnsi="Times New Roman" w:eastAsia="楷体_GB2312"/>
          <w:b w:val="0"/>
          <w:bCs w:val="0"/>
          <w:sz w:val="32"/>
          <w:szCs w:val="32"/>
        </w:rPr>
        <w:t>主题班会方案及课堂实录评分原则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_GB2312" w:hAnsi="仿宋" w:eastAsia="仿宋_GB2312" w:cs="仿宋"/>
          <w:b/>
          <w:bCs/>
          <w:sz w:val="32"/>
          <w:szCs w:val="32"/>
        </w:rPr>
      </w:pPr>
      <w:r>
        <w:rPr>
          <w:rFonts w:ascii="Times New Roman" w:hAnsi="Times New Roman" w:eastAsia="仿宋_GB2312"/>
          <w:b/>
          <w:bCs/>
          <w:sz w:val="32"/>
          <w:szCs w:val="32"/>
        </w:rPr>
        <w:t>1.</w:t>
      </w:r>
      <w:r>
        <w:rPr>
          <w:rFonts w:hint="eastAsia" w:ascii="仿宋_GB2312" w:hAnsi="仿宋" w:eastAsia="仿宋_GB2312" w:cs="仿宋"/>
          <w:b/>
          <w:bCs/>
          <w:sz w:val="32"/>
          <w:szCs w:val="32"/>
        </w:rPr>
        <w:t>主题班会方案评分标准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sz w:val="32"/>
          <w:szCs w:val="32"/>
        </w:rPr>
        <w:t>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</w:t>
      </w:r>
      <w:r>
        <w:rPr>
          <w:rFonts w:ascii="Times New Roman" w:hAnsi="Times New Roman" w:eastAsia="仿宋_GB231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针对性。贴近学生、贴近生活和贴近实际，聚焦一个主题，注重正面引导，紧密联系学生需求和班级实情开展教育活动。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（3）适切性。根据教育规律和学生年龄特点设计活动，目标贴切，主题鲜明，内容丰富，学生活动空间较大；形式多样，生动活泼，为学生所喜闻乐见。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（4）操作性。教育设计体现结构化，具有清晰的层次感，富有内在的逻辑性；实施步骤具体，过程完整，操作性强。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（5）创新性。锐意进取，立意新颖，方法和形式生动、多样，求新忌陈，不落俗套，具有时代特点，富有创意，体现新思路、新角度、新特色和新水平。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（6）规范性。方案书写有必要的元素，符合规范的设计体例；语言文字生动流畅，富有感染力；班会要强调仪式。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</w:t>
      </w:r>
      <w:r>
        <w:rPr>
          <w:rFonts w:ascii="Times New Roman" w:hAnsi="Times New Roman" w:eastAsia="仿宋_GB2312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主题班会课堂实录评分标准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（1）主题导入，自然贴切，引发主动学习。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（2）教育过程，师生互动，关注动态生成。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（3）活动形式，强调体验，侧重主体感悟。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（4）资源利用，精选妙用，激发学生思维。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（5）媒体技术，运用适切，增强教育效果。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（6）课堂小结，概括提炼，升华主题内涵。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（7）目标达成，自主建构，促进自我教育。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（8）学生参与，乐于合作，发展思辨能力。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（9）课堂氛围，民主和谐，有助观点分享。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（10）课外衔接，有机贯通，注重行为引导。</w:t>
      </w:r>
    </w:p>
    <w:p>
      <w:pPr>
        <w:spacing w:line="580" w:lineRule="exact"/>
        <w:ind w:firstLine="640" w:firstLineChars="200"/>
        <w:rPr>
          <w:rFonts w:ascii="Times New Roman" w:hAnsi="Times New Roman" w:eastAsia="楷体_GB2312"/>
          <w:b w:val="0"/>
          <w:bCs w:val="0"/>
          <w:sz w:val="32"/>
          <w:szCs w:val="32"/>
        </w:rPr>
      </w:pP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（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</w:rPr>
        <w:t>四</w:t>
      </w:r>
      <w:r>
        <w:rPr>
          <w:rFonts w:ascii="Times New Roman" w:hAnsi="Times New Roman" w:eastAsia="楷体_GB2312"/>
          <w:b w:val="0"/>
          <w:bCs w:val="0"/>
          <w:sz w:val="32"/>
          <w:szCs w:val="32"/>
        </w:rPr>
        <w:t>）</w:t>
      </w:r>
      <w:r>
        <w:rPr>
          <w:rFonts w:hint="eastAsia" w:ascii="Times New Roman" w:hAnsi="Times New Roman" w:eastAsia="楷体_GB2312"/>
          <w:b w:val="0"/>
          <w:bCs w:val="0"/>
          <w:sz w:val="32"/>
          <w:szCs w:val="32"/>
        </w:rPr>
        <w:t>情景模拟评分原则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1.基本素质评价：</w:t>
      </w:r>
      <w:r>
        <w:rPr>
          <w:rFonts w:hint="eastAsia" w:ascii="Times New Roman" w:hAnsi="Times New Roman" w:eastAsia="仿宋_GB2312"/>
          <w:sz w:val="32"/>
          <w:szCs w:val="32"/>
        </w:rPr>
        <w:t>包括仪容仪表、语言表达、思维逻辑、临场应变等。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2.专业素养评价：</w:t>
      </w:r>
      <w:r>
        <w:rPr>
          <w:rFonts w:hint="eastAsia" w:ascii="Times New Roman" w:hAnsi="Times New Roman" w:eastAsia="仿宋_GB2312"/>
          <w:sz w:val="32"/>
          <w:szCs w:val="32"/>
        </w:rPr>
        <w:t>包括专业素养掌握程度、教育观念更新程度、教育目标适切程度、教育方法创新程度、教育效果体现程度等。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3.个性特色评价：</w:t>
      </w:r>
      <w:r>
        <w:rPr>
          <w:rFonts w:hint="eastAsia" w:ascii="Times New Roman" w:hAnsi="Times New Roman" w:eastAsia="仿宋_GB2312"/>
          <w:sz w:val="32"/>
          <w:szCs w:val="32"/>
        </w:rPr>
        <w:t>包括个性表现、思路新颖、活动富有独创性等。</w:t>
      </w:r>
    </w:p>
    <w:p>
      <w:pPr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numPr>
          <w:ilvl w:val="0"/>
          <w:numId w:val="0"/>
        </w:numPr>
        <w:adjustRightInd w:val="0"/>
        <w:snapToGrid w:val="0"/>
        <w:spacing w:line="66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202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/>
          <w:sz w:val="44"/>
          <w:szCs w:val="44"/>
        </w:rPr>
        <w:t>年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遂昌县</w:t>
      </w:r>
      <w:r>
        <w:rPr>
          <w:rFonts w:hint="eastAsia" w:ascii="方正小标宋简体" w:hAnsi="Calibri" w:eastAsia="方正小标宋简体"/>
          <w:sz w:val="44"/>
          <w:szCs w:val="44"/>
        </w:rPr>
        <w:t>中小学班主任基本功大赛</w:t>
      </w:r>
    </w:p>
    <w:p>
      <w:pPr>
        <w:numPr>
          <w:ilvl w:val="0"/>
          <w:numId w:val="0"/>
        </w:num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暨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Calibri" w:eastAsia="方正小标宋简体"/>
          <w:sz w:val="44"/>
          <w:szCs w:val="44"/>
        </w:rPr>
        <w:t>赛选拔赛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主要参考资料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Calibri" w:hAnsi="Calibri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/>
          <w:sz w:val="32"/>
          <w:szCs w:val="32"/>
        </w:rPr>
      </w:pPr>
      <w:r>
        <w:rPr>
          <w:rFonts w:ascii="Calibri" w:hAnsi="Calibri" w:eastAsia="仿宋_GB2312"/>
          <w:sz w:val="32"/>
          <w:szCs w:val="32"/>
        </w:rPr>
        <w:t>1.中共中央、国务院：《关于进一步加强和改进未成年人思想道德建设的若干意见》《新时代公民道德建设实施纲要》《新时代爱国主义教育实施纲要》《关于全面加强新时代大中小学劳动教育的意见》</w:t>
      </w:r>
      <w:r>
        <w:rPr>
          <w:rFonts w:hint="eastAsia" w:ascii="Calibri" w:hAnsi="Calibri" w:eastAsia="仿宋_GB2312"/>
          <w:sz w:val="32"/>
          <w:szCs w:val="32"/>
        </w:rPr>
        <w:t>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2.</w:t>
      </w:r>
      <w:r>
        <w:rPr>
          <w:rFonts w:ascii="Calibri" w:hAnsi="Calibri" w:eastAsia="仿宋_GB2312"/>
          <w:sz w:val="32"/>
          <w:szCs w:val="32"/>
        </w:rPr>
        <w:t>中共中央</w:t>
      </w:r>
      <w:r>
        <w:rPr>
          <w:rFonts w:hint="eastAsia" w:ascii="Calibri" w:hAnsi="Calibri" w:eastAsia="仿宋_GB2312"/>
          <w:sz w:val="32"/>
          <w:szCs w:val="32"/>
        </w:rPr>
        <w:t>办公厅</w:t>
      </w:r>
      <w:r>
        <w:rPr>
          <w:rFonts w:ascii="Calibri" w:hAnsi="Calibri" w:eastAsia="仿宋_GB2312"/>
          <w:sz w:val="32"/>
          <w:szCs w:val="32"/>
        </w:rPr>
        <w:t>、国务院</w:t>
      </w:r>
      <w:r>
        <w:rPr>
          <w:rFonts w:hint="eastAsia" w:ascii="Calibri" w:hAnsi="Calibri" w:eastAsia="仿宋_GB2312"/>
          <w:sz w:val="32"/>
          <w:szCs w:val="32"/>
        </w:rPr>
        <w:t>办公厅：《</w:t>
      </w:r>
      <w:r>
        <w:rPr>
          <w:rFonts w:hint="eastAsia" w:ascii="Calibri" w:hAnsi="Calibri" w:eastAsia="仿宋_GB2312"/>
          <w:color w:val="0C0C0C"/>
          <w:sz w:val="32"/>
          <w:szCs w:val="32"/>
        </w:rPr>
        <w:t>关于进一步减轻义务教育阶段学生作业负担和校外培训负担的意见》等；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3</w:t>
      </w:r>
      <w:r>
        <w:rPr>
          <w:rFonts w:ascii="Calibri" w:hAnsi="Calibri" w:eastAsia="仿宋_GB2312"/>
          <w:sz w:val="32"/>
          <w:szCs w:val="32"/>
        </w:rPr>
        <w:t>.教育部：</w:t>
      </w:r>
      <w:r>
        <w:rPr>
          <w:rFonts w:hint="eastAsia" w:ascii="Calibri" w:hAnsi="Calibri" w:eastAsia="仿宋_GB2312"/>
          <w:sz w:val="32"/>
          <w:szCs w:val="32"/>
        </w:rPr>
        <w:t>《未成年人学校保护规定》《中小学教育惩戒规则(试行)》</w:t>
      </w:r>
      <w:r>
        <w:rPr>
          <w:rFonts w:ascii="Calibri" w:hAnsi="Calibri" w:eastAsia="仿宋_GB2312"/>
          <w:sz w:val="32"/>
          <w:szCs w:val="32"/>
        </w:rPr>
        <w:t>《教育系统关于学习宣传贯彻落实〈新时代爱国主义教育实施纲要〉的工作方案》《中小学德育工作指南》《关于进一步加强中小学班主任工作的意见》《中小学班主任工作规定》等</w:t>
      </w:r>
      <w:r>
        <w:rPr>
          <w:rFonts w:hint="eastAsia" w:ascii="Calibri" w:hAnsi="Calibri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Calibri" w:hAnsi="Calibri" w:eastAsia="仿宋_GB2312"/>
          <w:sz w:val="32"/>
          <w:szCs w:val="32"/>
        </w:rPr>
      </w:pPr>
      <w:r>
        <w:rPr>
          <w:rFonts w:hint="eastAsia" w:ascii="Calibri" w:hAnsi="Calibri" w:eastAsia="仿宋_GB2312"/>
          <w:sz w:val="32"/>
          <w:szCs w:val="32"/>
        </w:rPr>
        <w:t>4</w:t>
      </w:r>
      <w:r>
        <w:rPr>
          <w:rFonts w:ascii="Calibri" w:hAnsi="Calibri" w:eastAsia="仿宋_GB2312"/>
          <w:sz w:val="32"/>
          <w:szCs w:val="32"/>
        </w:rPr>
        <w:t>.班主任工作相关知识</w:t>
      </w:r>
      <w:r>
        <w:rPr>
          <w:rFonts w:hint="eastAsia" w:ascii="Calibri" w:hAnsi="Calibri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985" w:right="1474" w:bottom="1814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Calibri" w:hAnsi="Calibri" w:eastAsia="仿宋_GB2312"/>
          <w:sz w:val="32"/>
          <w:szCs w:val="32"/>
        </w:rPr>
        <w:t>5.家庭教育相关知识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 xml:space="preserve"> ：</w:t>
      </w:r>
    </w:p>
    <w:p>
      <w:pPr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遂昌县</w:t>
      </w:r>
      <w:r>
        <w:rPr>
          <w:rFonts w:hint="eastAsia" w:ascii="方正小标宋简体" w:hAnsi="Times New Roman" w:eastAsia="方正小标宋简体"/>
          <w:sz w:val="44"/>
          <w:szCs w:val="44"/>
        </w:rPr>
        <w:t>中小学班主任基本功大赛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暨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赛选拔赛</w:t>
      </w:r>
      <w:r>
        <w:rPr>
          <w:rFonts w:hint="eastAsia" w:ascii="方正小标宋简体" w:hAnsi="Times New Roman" w:eastAsia="方正小标宋简体"/>
          <w:sz w:val="44"/>
          <w:szCs w:val="44"/>
        </w:rPr>
        <w:t>参赛名单汇总表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ind w:firstLine="560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</w:rPr>
        <w:t>单位（盖章）：</w:t>
      </w:r>
      <w:r>
        <w:rPr>
          <w:rFonts w:ascii="Times New Roman" w:hAnsi="Times New Roman" w:eastAsia="仿宋_GB2312"/>
          <w:sz w:val="28"/>
          <w:szCs w:val="28"/>
          <w:u w:val="single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53"/>
        <w:gridCol w:w="1445"/>
        <w:gridCol w:w="1611"/>
        <w:gridCol w:w="2753"/>
        <w:gridCol w:w="1002"/>
        <w:gridCol w:w="1513"/>
        <w:gridCol w:w="1787"/>
        <w:gridCol w:w="148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组  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班主任姓名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学校名称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（规范全称）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  限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班主任工作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  限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任教年级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6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spacing w:before="156" w:beforeLines="50" w:line="240" w:lineRule="exac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（不够可另加页，本届六名参赛选手在前，往届参赛选手在后）</w:t>
      </w:r>
    </w:p>
    <w:p>
      <w:pPr>
        <w:spacing w:line="600" w:lineRule="exact"/>
        <w:rPr>
          <w:rFonts w:ascii="仿宋_GB2312" w:hAnsi="Times New Roman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spacing w:line="6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遂昌县</w:t>
      </w:r>
      <w:r>
        <w:rPr>
          <w:rFonts w:ascii="方正小标宋简体" w:hAnsi="Times New Roman" w:eastAsia="方正小标宋简体"/>
          <w:sz w:val="44"/>
          <w:szCs w:val="44"/>
        </w:rPr>
        <w:t>中小学班主任基本功大赛</w:t>
      </w:r>
      <w:r>
        <w:rPr>
          <w:rFonts w:hint="default" w:ascii="方正小标宋简体" w:hAnsi="Times New Roman" w:eastAsia="方正小标宋简体"/>
          <w:color w:val="auto"/>
          <w:sz w:val="44"/>
          <w:szCs w:val="44"/>
        </w:rPr>
        <w:t>暨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default" w:ascii="方正小标宋简体" w:hAnsi="Times New Roman" w:eastAsia="方正小标宋简体"/>
          <w:color w:val="auto"/>
          <w:sz w:val="44"/>
          <w:szCs w:val="44"/>
        </w:rPr>
        <w:t>赛选拔赛</w:t>
      </w:r>
      <w:r>
        <w:rPr>
          <w:rFonts w:hint="default" w:ascii="方正小标宋简体" w:hAnsi="Times New Roman" w:eastAsia="方正小标宋简体"/>
          <w:sz w:val="44"/>
          <w:szCs w:val="44"/>
        </w:rPr>
        <w:t>参赛信息汇总表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before="312" w:beforeLines="0" w:after="312" w:afterLines="0" w:line="600" w:lineRule="exact"/>
        <w:ind w:firstLine="560"/>
        <w:rPr>
          <w:rFonts w:ascii="Times New Roman" w:hAnsi="Times New Roman" w:eastAsia="仿宋_GB2312"/>
          <w:sz w:val="28"/>
          <w:szCs w:val="28"/>
          <w:u w:val="none"/>
        </w:rPr>
      </w:pPr>
      <w:r>
        <w:rPr>
          <w:rFonts w:ascii="Times New Roman" w:hAnsi="Times New Roman" w:eastAsia="仿宋_GB2312"/>
          <w:sz w:val="28"/>
          <w:szCs w:val="28"/>
        </w:rPr>
        <w:t>单位（盖章）：</w:t>
      </w:r>
      <w:r>
        <w:rPr>
          <w:rFonts w:ascii="Times New Roman" w:hAnsi="Times New Roman" w:eastAsia="仿宋_GB2312"/>
          <w:sz w:val="28"/>
          <w:szCs w:val="28"/>
          <w:u w:val="none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23"/>
        <w:gridCol w:w="1427"/>
        <w:gridCol w:w="2448"/>
        <w:gridCol w:w="1765"/>
        <w:gridCol w:w="1249"/>
        <w:gridCol w:w="1973"/>
        <w:gridCol w:w="197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组  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班主任姓名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学校名称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（规范全称）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参赛学段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育人故事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带班育人方略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主题班会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1"/>
              </w:rPr>
              <w:t>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/>
          <w:szCs w:val="21"/>
        </w:rPr>
      </w:pPr>
    </w:p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default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/>
          <w:sz w:val="32"/>
          <w:szCs w:val="32"/>
        </w:rPr>
        <w:t>: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ascii="方正小标宋简体" w:hAnsi="Times New Roman" w:eastAsia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hAnsi="Times New Roman" w:eastAsia="方正小标宋简体"/>
          <w:sz w:val="44"/>
          <w:szCs w:val="44"/>
        </w:rPr>
        <w:t>年</w:t>
      </w: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遂昌县</w:t>
      </w:r>
      <w:r>
        <w:rPr>
          <w:rFonts w:ascii="方正小标宋简体" w:hAnsi="Times New Roman" w:eastAsia="方正小标宋简体"/>
          <w:sz w:val="44"/>
          <w:szCs w:val="44"/>
        </w:rPr>
        <w:t>中小学班主任基本功大赛</w:t>
      </w:r>
      <w:r>
        <w:rPr>
          <w:rFonts w:hint="default" w:ascii="方正小标宋简体" w:hAnsi="Times New Roman" w:eastAsia="方正小标宋简体"/>
          <w:color w:val="auto"/>
          <w:sz w:val="44"/>
          <w:szCs w:val="44"/>
        </w:rPr>
        <w:t>暨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default" w:ascii="方正小标宋简体" w:hAnsi="Times New Roman" w:eastAsia="方正小标宋简体"/>
          <w:color w:val="auto"/>
          <w:sz w:val="44"/>
          <w:szCs w:val="44"/>
        </w:rPr>
        <w:t>赛选拔赛</w:t>
      </w:r>
      <w:r>
        <w:rPr>
          <w:rFonts w:ascii="方正小标宋简体" w:hAnsi="Times New Roman" w:eastAsia="方正小标宋简体"/>
          <w:sz w:val="44"/>
          <w:szCs w:val="44"/>
        </w:rPr>
        <w:t>申报表</w:t>
      </w:r>
    </w:p>
    <w:p>
      <w:pPr>
        <w:spacing w:line="24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学校类别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spacing w:line="440" w:lineRule="exact"/>
              <w:ind w:firstLine="480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小学□       初中□       高中□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姓　　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性　　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民　　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学　　历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职   务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职    称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参加工作年限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担任班主任工作年限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来自地区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手机：             座机：         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54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个人或班级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所获荣誉    （近5年）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3920" w:firstLineChars="14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主管教育行政</w:t>
            </w:r>
          </w:p>
          <w:p>
            <w:pPr>
              <w:spacing w:line="44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部门意见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200" w:firstLineChars="15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  月      日</w:t>
            </w:r>
          </w:p>
        </w:tc>
      </w:tr>
    </w:tbl>
    <w:p>
      <w:pPr>
        <w:spacing w:line="600" w:lineRule="exac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/>
          <w:sz w:val="32"/>
          <w:szCs w:val="32"/>
        </w:rPr>
        <w:t>: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2023年遂昌县中小学班主任基本功大赛暨市赛选拔赛推荐名额分配表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945"/>
        <w:gridCol w:w="1819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推荐名额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遂昌县职业中专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遂昌育才高中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遂昌三中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实验教育集团（实验校区）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实验教育集团（民族校区）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王村口镇中心小学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湖山乡中心小学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三仁乡中心小学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应村乡中心小学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高坪乡中心小学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蔡源乡中心小学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黄沙腰镇中心小学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西畈乡中心小学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spacing w:line="600" w:lineRule="exact"/>
        <w:jc w:val="both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注：各校务必达到分配名额推荐人员参赛（可多于推荐名额但不得少于推荐名额）。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308610</wp:posOffset>
                </wp:positionV>
                <wp:extent cx="739775" cy="76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397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right="1099"/>
                              <w:jc w:val="both"/>
                              <w:rPr>
                                <w:rFonts w:hint="eastAsia" w:ascii="仿宋_GB2312" w:hAnsi="Times New Roman" w:eastAsia="仿宋_GB23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y;margin-left:197.5pt;margin-top:24.3pt;height:6pt;width:58.25pt;z-index:251659264;mso-width-relative:page;mso-height-relative:page;" filled="f" stroked="f" coordsize="21600,21600" o:gfxdata="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xOJ1J2gAAAAkBAAAPAAAAAAAAAAEAIAAAACIA&#10;AABkcnMvZG93bnJldi54bWxQSwECFAAUAAAACACHTuJA+OgZyJUBAAAIAwAADgAAAAAAAAABACAA&#10;AAAp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right="1099"/>
                        <w:jc w:val="both"/>
                        <w:rPr>
                          <w:rFonts w:hint="eastAsia" w:ascii="仿宋_GB2312" w:hAnsi="Times New Roman" w:eastAsia="仿宋_GB2312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sectPr>
      <w:footerReference r:id="rId4" w:type="default"/>
      <w:pgSz w:w="11906" w:h="16838"/>
      <w:pgMar w:top="1985" w:right="1474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5"/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5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5"/>
        <w:rFonts w:ascii="宋体" w:hAnsi="宋体" w:eastAsia="宋体" w:cs="Times New Roman"/>
        <w:kern w:val="2"/>
        <w:sz w:val="28"/>
        <w:szCs w:val="28"/>
        <w:lang w:val="en-US" w:eastAsia="zh-CN" w:bidi="ar-SA"/>
      </w:rPr>
      <w:t>- 1 -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7C0D"/>
    <w:rsid w:val="2B9A2D86"/>
    <w:rsid w:val="3A1263F4"/>
    <w:rsid w:val="6E2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2022-12-13T08:20:00Z</dcterms:created>
  <dc:creator>Administrator</dc:creator>
  <cp:lastModifiedBy>张红专</cp:lastModifiedBy>
  <dcterms:modified xsi:type="dcterms:W3CDTF">2023-03-03T02:29:40Z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