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BE" w:rsidRDefault="00F206ED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0E13BE" w:rsidRDefault="000E13BE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</w:p>
    <w:p w:rsidR="000E13BE" w:rsidRDefault="00F206ED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2021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>15</w:t>
      </w:r>
      <w:r>
        <w:rPr>
          <w:rFonts w:cs="宋体" w:hint="eastAsia"/>
          <w:kern w:val="0"/>
          <w:sz w:val="28"/>
        </w:rPr>
        <w:t>号</w:t>
      </w:r>
    </w:p>
    <w:p w:rsidR="000E13BE" w:rsidRDefault="00480D08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_x0000_s1026" style="position:absolute;z-index:251659264" from="1.2pt,2.1pt" to="440.55pt,2.1pt" o:allowincell="f" strokecolor="red">
            <w10:wrap type="topAndBottom"/>
          </v:line>
        </w:pic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关于召开遂昌县小学数学教研组长“数字教研”会暨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遂昌县小学数学学科工作室第6次集中研修</w:t>
      </w:r>
      <w:r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0E13BE" w:rsidRDefault="000E13BE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 w:rsidR="000E13BE" w:rsidRDefault="00F206ED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全县各小学：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根据</w:t>
      </w:r>
      <w:r>
        <w:rPr>
          <w:rFonts w:hint="eastAsia"/>
          <w:color w:val="333333"/>
          <w:sz w:val="32"/>
          <w:szCs w:val="32"/>
        </w:rPr>
        <w:t>遂昌县小学数学学科工作室2021年研修计划安排，拟召开小学数学教研组长“数字教研”会暨工作室全体学员第6次集中研修活动。现将有关事项通知如下：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  <w:r>
        <w:rPr>
          <w:rFonts w:hint="eastAsia"/>
          <w:color w:val="000000"/>
          <w:sz w:val="28"/>
          <w:szCs w:val="28"/>
        </w:rPr>
        <w:t>2021年4月6日，上午8：50前报到。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  <w:r>
        <w:rPr>
          <w:rFonts w:hint="eastAsia"/>
          <w:color w:val="000000"/>
          <w:sz w:val="28"/>
          <w:szCs w:val="28"/>
        </w:rPr>
        <w:t>遂昌县湖山小学。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三、研修内容： 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主题：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 xml:space="preserve">基于单元整体教学视角下的“1325”思辨课堂教学专题研讨 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left="1120"/>
        <w:jc w:val="both"/>
        <w:rPr>
          <w:bCs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bCs/>
          <w:color w:val="333333"/>
          <w:sz w:val="32"/>
          <w:szCs w:val="32"/>
        </w:rPr>
        <w:t>“1325”思辨课堂教学展示</w:t>
      </w:r>
      <w:r>
        <w:rPr>
          <w:rFonts w:hint="eastAsia"/>
          <w:bCs/>
          <w:color w:val="000000"/>
          <w:sz w:val="28"/>
          <w:szCs w:val="28"/>
        </w:rPr>
        <w:t>课2节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80" w:lineRule="atLeast"/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学员老师课堂观察量表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反馈汇报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80" w:lineRule="atLeast"/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 工作室导师及参会老师点评交流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 布置新学</w:t>
      </w:r>
      <w:proofErr w:type="gramStart"/>
      <w:r>
        <w:rPr>
          <w:rFonts w:hint="eastAsia"/>
          <w:color w:val="000000"/>
          <w:sz w:val="28"/>
          <w:szCs w:val="28"/>
        </w:rPr>
        <w:t>年相关</w:t>
      </w:r>
      <w:proofErr w:type="gramEnd"/>
      <w:r>
        <w:rPr>
          <w:rFonts w:hint="eastAsia"/>
          <w:color w:val="000000"/>
          <w:sz w:val="28"/>
          <w:szCs w:val="28"/>
        </w:rPr>
        <w:t>教研工作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四、现场参加对象：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1.小学数学学科工作室全体学员及导师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2.全县各校小学数学教研组长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五、其它事项：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1.本次教学研讨活动采用现场直播的方式进行，对于未参加现场会的数学老师，请相关学校务必组织好在线远程参与学习与交流。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2.的请相关学校支持并督促本校参会对象按时参加，工作室学员若有特殊情况不能参加的，由个人向学校请假，批准同意后，再向学科工作室主任、导师请假报备。</w:t>
      </w:r>
    </w:p>
    <w:p w:rsidR="000E13BE" w:rsidRDefault="00F206ED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 与会教师车旅费回原单位报销，注意往返途中安全。</w:t>
      </w:r>
      <w:r>
        <w:rPr>
          <w:rFonts w:hint="eastAsia"/>
          <w:sz w:val="28"/>
          <w:szCs w:val="28"/>
        </w:rPr>
        <w:t xml:space="preserve"> </w:t>
      </w:r>
    </w:p>
    <w:p w:rsidR="000E13BE" w:rsidRDefault="000E13BE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0E13BE" w:rsidRDefault="000E13BE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0E13BE" w:rsidRDefault="000E13BE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0E13BE" w:rsidRDefault="000E13BE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0E13BE" w:rsidRDefault="000E13BE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0E13BE" w:rsidRDefault="00F206ED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0E13BE" w:rsidRDefault="00F206ED" w:rsidP="00141EAE">
      <w:pPr>
        <w:tabs>
          <w:tab w:val="left" w:pos="7560"/>
        </w:tabs>
        <w:spacing w:line="560" w:lineRule="exact"/>
        <w:ind w:firstLineChars="1427" w:firstLine="399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二〇二一年三月十六日</w:t>
      </w:r>
    </w:p>
    <w:p w:rsidR="000E13BE" w:rsidRDefault="000E13BE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0E13BE" w:rsidRDefault="000E13BE"/>
    <w:p w:rsidR="000E13BE" w:rsidRDefault="000E13BE">
      <w:pPr>
        <w:spacing w:line="360" w:lineRule="auto"/>
        <w:ind w:firstLineChars="1550" w:firstLine="4495"/>
        <w:rPr>
          <w:rFonts w:ascii="宋体" w:hAnsi="宋体" w:cs="宋体"/>
          <w:color w:val="333333"/>
          <w:kern w:val="0"/>
          <w:sz w:val="29"/>
          <w:szCs w:val="29"/>
        </w:rPr>
      </w:pPr>
    </w:p>
    <w:p w:rsidR="000E13BE" w:rsidRDefault="000E13BE">
      <w:pPr>
        <w:spacing w:line="360" w:lineRule="auto"/>
        <w:ind w:firstLineChars="1550" w:firstLine="4495"/>
        <w:rPr>
          <w:rFonts w:ascii="宋体" w:hAnsi="宋体" w:cs="宋体"/>
          <w:color w:val="333333"/>
          <w:kern w:val="0"/>
          <w:sz w:val="29"/>
          <w:szCs w:val="29"/>
        </w:rPr>
      </w:pPr>
    </w:p>
    <w:p w:rsidR="000E13BE" w:rsidRDefault="00F206ED">
      <w:pPr>
        <w:widowControl/>
        <w:spacing w:line="56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0E13BE" w:rsidRDefault="000E13BE">
      <w:pPr>
        <w:widowControl/>
        <w:spacing w:line="56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0E13BE" w:rsidRDefault="000E13BE">
      <w:pPr>
        <w:widowControl/>
        <w:spacing w:line="56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0E13BE" w:rsidRDefault="00480D08">
      <w:pPr>
        <w:snapToGrid w:val="0"/>
        <w:spacing w:line="560" w:lineRule="atLeast"/>
        <w:rPr>
          <w:rFonts w:ascii="宋体" w:hAnsi="宋体"/>
        </w:rPr>
      </w:pPr>
      <w:r w:rsidRPr="00480D08">
        <w:rPr>
          <w:rFonts w:ascii="宋体" w:hAnsi="宋体"/>
          <w:sz w:val="30"/>
          <w:szCs w:val="30"/>
        </w:rPr>
        <w:pict>
          <v:line id="_x0000_s1027" style="position:absolute;left:0;text-align:left;z-index:251660288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480D08">
        <w:rPr>
          <w:rFonts w:ascii="宋体" w:hAnsi="宋体"/>
          <w:sz w:val="30"/>
          <w:szCs w:val="30"/>
        </w:rPr>
        <w:pict>
          <v:line id="_x0000_s1028" style="position:absolute;left:0;text-align:left;z-index:251661312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F206ED">
        <w:rPr>
          <w:rFonts w:ascii="宋体" w:hAnsi="宋体" w:hint="eastAsia"/>
          <w:color w:val="000000"/>
          <w:sz w:val="30"/>
          <w:szCs w:val="30"/>
        </w:rPr>
        <w:t>遂昌县教育研究室</w:t>
      </w:r>
      <w:r w:rsidR="00F206ED">
        <w:rPr>
          <w:rFonts w:ascii="宋体" w:hAnsi="宋体"/>
          <w:color w:val="000000"/>
          <w:sz w:val="30"/>
          <w:szCs w:val="30"/>
        </w:rPr>
        <w:t xml:space="preserve">               20</w:t>
      </w:r>
      <w:r w:rsidR="00F206ED">
        <w:rPr>
          <w:rFonts w:ascii="宋体" w:hAnsi="宋体" w:hint="eastAsia"/>
          <w:color w:val="000000"/>
          <w:sz w:val="30"/>
          <w:szCs w:val="30"/>
        </w:rPr>
        <w:t>21年3月16日印发</w:t>
      </w:r>
    </w:p>
    <w:p w:rsidR="000E13BE" w:rsidRDefault="000E13BE"/>
    <w:sectPr w:rsidR="000E13BE" w:rsidSect="000E13BE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5AE" w:rsidRDefault="00A615AE" w:rsidP="000E13BE">
      <w:r>
        <w:separator/>
      </w:r>
    </w:p>
  </w:endnote>
  <w:endnote w:type="continuationSeparator" w:id="0">
    <w:p w:rsidR="00A615AE" w:rsidRDefault="00A615AE" w:rsidP="000E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5AE" w:rsidRDefault="00A615AE" w:rsidP="000E13BE">
      <w:r>
        <w:separator/>
      </w:r>
    </w:p>
  </w:footnote>
  <w:footnote w:type="continuationSeparator" w:id="0">
    <w:p w:rsidR="00A615AE" w:rsidRDefault="00A615AE" w:rsidP="000E1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BE" w:rsidRDefault="000E13B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710E8"/>
    <w:rsid w:val="000A38C9"/>
    <w:rsid w:val="000E13BE"/>
    <w:rsid w:val="0010680A"/>
    <w:rsid w:val="00141EAE"/>
    <w:rsid w:val="001636CE"/>
    <w:rsid w:val="002525E2"/>
    <w:rsid w:val="002F1F27"/>
    <w:rsid w:val="00451482"/>
    <w:rsid w:val="00452228"/>
    <w:rsid w:val="00456833"/>
    <w:rsid w:val="00480D08"/>
    <w:rsid w:val="005456AA"/>
    <w:rsid w:val="005474F3"/>
    <w:rsid w:val="00586DF0"/>
    <w:rsid w:val="00587FD8"/>
    <w:rsid w:val="005D42A9"/>
    <w:rsid w:val="00675E98"/>
    <w:rsid w:val="00763155"/>
    <w:rsid w:val="0078506C"/>
    <w:rsid w:val="009523E8"/>
    <w:rsid w:val="009B0F76"/>
    <w:rsid w:val="009F2E12"/>
    <w:rsid w:val="00A20167"/>
    <w:rsid w:val="00A36BED"/>
    <w:rsid w:val="00A615AE"/>
    <w:rsid w:val="00A87C7E"/>
    <w:rsid w:val="00AB59E4"/>
    <w:rsid w:val="00AE42E6"/>
    <w:rsid w:val="00B15AAC"/>
    <w:rsid w:val="00B50EA9"/>
    <w:rsid w:val="00B75170"/>
    <w:rsid w:val="00B96419"/>
    <w:rsid w:val="00C06CB0"/>
    <w:rsid w:val="00C6133B"/>
    <w:rsid w:val="00C769B8"/>
    <w:rsid w:val="00CC09DD"/>
    <w:rsid w:val="00D810C0"/>
    <w:rsid w:val="00D81C63"/>
    <w:rsid w:val="00DB06F3"/>
    <w:rsid w:val="00DB1755"/>
    <w:rsid w:val="00DC582E"/>
    <w:rsid w:val="00E21348"/>
    <w:rsid w:val="00E2495A"/>
    <w:rsid w:val="00E40E9E"/>
    <w:rsid w:val="00E93196"/>
    <w:rsid w:val="00EB0311"/>
    <w:rsid w:val="00F0544F"/>
    <w:rsid w:val="00F206ED"/>
    <w:rsid w:val="00F7140F"/>
    <w:rsid w:val="00FE6D73"/>
    <w:rsid w:val="00FF1E48"/>
    <w:rsid w:val="0853444C"/>
    <w:rsid w:val="09C55422"/>
    <w:rsid w:val="3CDA4878"/>
    <w:rsid w:val="416D023F"/>
    <w:rsid w:val="43166A71"/>
    <w:rsid w:val="64024881"/>
    <w:rsid w:val="76B2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1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0E13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0E13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0E13BE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E13B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E13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21</cp:revision>
  <dcterms:created xsi:type="dcterms:W3CDTF">2019-09-30T02:38:00Z</dcterms:created>
  <dcterms:modified xsi:type="dcterms:W3CDTF">2021-03-16T07:29:00Z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