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60" w:lineRule="exact"/>
        <w:jc w:val="left"/>
        <w:rPr>
          <w:rFonts w:ascii="黑体" w:hAnsi="宋体" w:eastAsia="黑体" w:cs="黑体"/>
          <w:color w:val="000000"/>
          <w:sz w:val="32"/>
          <w:szCs w:val="32"/>
        </w:rPr>
      </w:pPr>
      <w:r>
        <w:rPr>
          <w:rFonts w:hint="eastAsia" w:ascii="黑体" w:hAnsi="宋体" w:eastAsia="黑体" w:cs="黑体"/>
          <w:color w:val="000000"/>
          <w:sz w:val="32"/>
          <w:szCs w:val="32"/>
        </w:rPr>
        <w:t>附件1</w:t>
      </w:r>
    </w:p>
    <w:p>
      <w:pPr>
        <w:pStyle w:val="3"/>
        <w:widowControl/>
        <w:spacing w:line="560" w:lineRule="exact"/>
        <w:jc w:val="left"/>
        <w:rPr>
          <w:rFonts w:hint="eastAsia" w:ascii="方正小标宋简体" w:hAnsi="宋体" w:cs="方正小标宋简体"/>
          <w:color w:val="000000"/>
          <w:sz w:val="44"/>
          <w:szCs w:val="44"/>
        </w:rPr>
      </w:pPr>
    </w:p>
    <w:p>
      <w:pPr>
        <w:pStyle w:val="3"/>
        <w:widowControl/>
        <w:snapToGrid w:val="0"/>
        <w:spacing w:line="560" w:lineRule="exact"/>
        <w:ind w:right="-85" w:firstLine="0"/>
        <w:jc w:val="center"/>
        <w:rPr>
          <w:rFonts w:ascii="方正小标宋简体" w:hAnsi="方正小标宋简体" w:eastAsia="方正小标宋简体" w:cs="方正小标宋简体"/>
          <w:color w:val="000000"/>
          <w:sz w:val="36"/>
          <w:szCs w:val="36"/>
          <w:lang w:bidi="ar"/>
        </w:rPr>
      </w:pPr>
      <w:r>
        <w:rPr>
          <w:rFonts w:hint="eastAsia" w:ascii="方正小标宋简体" w:hAnsi="方正小标宋简体" w:eastAsia="方正小标宋简体" w:cs="方正小标宋简体"/>
          <w:color w:val="000000"/>
          <w:sz w:val="36"/>
          <w:szCs w:val="36"/>
          <w:lang w:bidi="ar"/>
        </w:rPr>
        <w:t>2020年度浙江省精品资源建设规范</w:t>
      </w:r>
    </w:p>
    <w:p>
      <w:pPr>
        <w:pStyle w:val="3"/>
        <w:widowControl/>
        <w:snapToGrid w:val="0"/>
        <w:spacing w:line="560" w:lineRule="exact"/>
        <w:ind w:right="-85" w:firstLine="0"/>
        <w:rPr>
          <w:rFonts w:hint="eastAsia" w:ascii="仿宋_GB2312" w:hAnsi="仿宋" w:eastAsia="仿宋_GB2312" w:cs="仿宋_GB2312"/>
          <w:color w:val="000000"/>
          <w:kern w:val="0"/>
          <w:sz w:val="32"/>
          <w:szCs w:val="32"/>
        </w:rPr>
      </w:pPr>
    </w:p>
    <w:p>
      <w:pPr>
        <w:pStyle w:val="3"/>
        <w:widowControl/>
        <w:snapToGrid w:val="0"/>
        <w:spacing w:line="560" w:lineRule="exact"/>
        <w:ind w:right="-85"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kern w:val="0"/>
          <w:sz w:val="32"/>
          <w:szCs w:val="32"/>
        </w:rPr>
        <w:t>为进一步指导和规范精品资源开发，提升数字教育资源建设水平，促进优质资源共享，特制订本要求。</w:t>
      </w:r>
    </w:p>
    <w:p>
      <w:pPr>
        <w:pStyle w:val="3"/>
        <w:widowControl/>
        <w:snapToGrid w:val="0"/>
        <w:spacing w:line="560" w:lineRule="exact"/>
        <w:ind w:right="-86" w:firstLine="640" w:firstLineChars="200"/>
        <w:outlineLvl w:val="0"/>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一、内容要求</w:t>
      </w:r>
    </w:p>
    <w:p>
      <w:pPr>
        <w:pStyle w:val="3"/>
        <w:widowControl/>
        <w:snapToGrid w:val="0"/>
        <w:spacing w:line="560" w:lineRule="exact"/>
        <w:ind w:right="-86" w:firstLine="643" w:firstLineChars="200"/>
        <w:outlineLvl w:val="0"/>
        <w:rPr>
          <w:rFonts w:ascii="仿宋_GB2312" w:hAnsi="Times New Roman" w:eastAsia="仿宋_GB2312" w:cs="仿宋_GB2312"/>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学前</w:t>
      </w:r>
      <w:r>
        <w:rPr>
          <w:rFonts w:hint="eastAsia" w:ascii="楷体_GB2312" w:hAnsi="宋体" w:eastAsia="楷体_GB2312" w:cs="楷体_GB2312"/>
          <w:b/>
          <w:color w:val="000000"/>
          <w:kern w:val="0"/>
          <w:sz w:val="32"/>
          <w:szCs w:val="32"/>
        </w:rPr>
        <w:t>教育组</w:t>
      </w:r>
    </w:p>
    <w:p>
      <w:pPr>
        <w:pStyle w:val="3"/>
        <w:widowControl/>
        <w:spacing w:line="560" w:lineRule="exact"/>
        <w:ind w:firstLine="640" w:firstLineChars="200"/>
        <w:rPr>
          <w:rFonts w:hint="eastAsia" w:ascii="楷体_GB2312" w:hAnsi="宋体" w:eastAsia="楷体_GB2312" w:cs="楷体_GB2312"/>
          <w:b/>
          <w:color w:val="000000"/>
          <w:kern w:val="0"/>
          <w:sz w:val="32"/>
          <w:szCs w:val="32"/>
        </w:rPr>
      </w:pPr>
      <w:r>
        <w:rPr>
          <w:rFonts w:ascii="仿宋_GB2312" w:hAnsi="Times New Roman" w:eastAsia="仿宋_GB2312" w:cs="仿宋_GB2312"/>
          <w:color w:val="000000"/>
          <w:kern w:val="0"/>
          <w:sz w:val="32"/>
          <w:szCs w:val="32"/>
        </w:rPr>
        <w:t>作品</w:t>
      </w:r>
      <w:r>
        <w:rPr>
          <w:rFonts w:hint="eastAsia" w:ascii="仿宋_GB2312" w:hAnsi="Times New Roman" w:eastAsia="仿宋_GB2312" w:cs="仿宋_GB2312"/>
          <w:color w:val="000000"/>
          <w:kern w:val="0"/>
          <w:sz w:val="32"/>
          <w:szCs w:val="32"/>
        </w:rPr>
        <w:t>主体为一个视频，视频</w:t>
      </w:r>
      <w:r>
        <w:rPr>
          <w:rFonts w:ascii="仿宋_GB2312" w:hAnsi="Times New Roman" w:eastAsia="仿宋_GB2312" w:cs="仿宋_GB2312"/>
          <w:color w:val="000000"/>
          <w:kern w:val="0"/>
          <w:sz w:val="32"/>
          <w:szCs w:val="32"/>
        </w:rPr>
        <w:t>长度不超过20分钟。具体案例参见浙江教育网络电视幼儿游戏视频案例专题（http://www.zjedu.tv/kindergarten/youeryouxishipinanli.shtml）。</w:t>
      </w:r>
    </w:p>
    <w:p>
      <w:pPr>
        <w:pStyle w:val="3"/>
        <w:widowControl/>
        <w:snapToGrid w:val="0"/>
        <w:spacing w:line="560" w:lineRule="exact"/>
        <w:ind w:right="-86" w:firstLine="643" w:firstLineChars="200"/>
        <w:outlineLvl w:val="0"/>
        <w:rPr>
          <w:rFonts w:hint="eastAsia" w:ascii="楷体_GB2312" w:hAnsi="宋体" w:eastAsia="楷体_GB2312" w:cs="楷体_GB2312"/>
          <w:b/>
          <w:color w:val="000000"/>
          <w:sz w:val="32"/>
          <w:szCs w:val="32"/>
        </w:rPr>
      </w:pPr>
      <w:r>
        <w:rPr>
          <w:rFonts w:hint="eastAsia" w:ascii="楷体_GB2312" w:hAnsi="宋体" w:eastAsia="楷体_GB2312" w:cs="楷体_GB2312"/>
          <w:b/>
          <w:color w:val="000000"/>
          <w:kern w:val="0"/>
          <w:sz w:val="32"/>
          <w:szCs w:val="32"/>
        </w:rPr>
        <w:t>（二）基础教育组</w:t>
      </w:r>
    </w:p>
    <w:p>
      <w:pPr>
        <w:pStyle w:val="3"/>
        <w:widowControl/>
        <w:snapToGrid w:val="0"/>
        <w:spacing w:line="560" w:lineRule="exact"/>
        <w:ind w:right="-86" w:firstLine="64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每门微课程</w:t>
      </w:r>
      <w:r>
        <w:rPr>
          <w:rFonts w:hint="eastAsia" w:ascii="仿宋_GB2312" w:hAnsi="Times New Roman" w:eastAsia="仿宋_GB2312" w:cs="仿宋_GB2312"/>
          <w:color w:val="000000"/>
          <w:kern w:val="0"/>
          <w:sz w:val="32"/>
          <w:szCs w:val="32"/>
        </w:rPr>
        <w:t>视频数量不少于10个，不超过40个，须</w:t>
      </w:r>
      <w:r>
        <w:rPr>
          <w:rFonts w:hint="eastAsia" w:ascii="仿宋_GB2312" w:hAnsi="仿宋" w:eastAsia="仿宋_GB2312" w:cs="仿宋_GB2312"/>
          <w:color w:val="000000"/>
          <w:kern w:val="0"/>
          <w:sz w:val="32"/>
          <w:szCs w:val="32"/>
        </w:rPr>
        <w:t>包含：微课程基本信息1套、思维导图1套、知识点清单1份、阶段性评测练习2套和按要求编制的若干知识点学习资源及其他相关资源。其中，每个知识点学习资源须含微视频、3个微练习及相关答案、1份学习任务单及其他。</w:t>
      </w:r>
    </w:p>
    <w:p>
      <w:pPr>
        <w:pStyle w:val="3"/>
        <w:widowControl/>
        <w:snapToGrid w:val="0"/>
        <w:spacing w:line="560" w:lineRule="exact"/>
        <w:ind w:right="-86" w:firstLine="640" w:firstLineChars="200"/>
        <w:rPr>
          <w:rFonts w:hint="eastAsia" w:ascii="仿宋_GB2312" w:hAnsi="仿宋" w:eastAsia="仿宋_GB2312" w:cs="仿宋_GB2312"/>
          <w:color w:val="000000"/>
          <w:kern w:val="0"/>
          <w:sz w:val="32"/>
          <w:szCs w:val="32"/>
        </w:rPr>
      </w:pPr>
      <w:r>
        <w:rPr>
          <w:rFonts w:hint="eastAsia" w:ascii="仿宋_GB2312" w:hAnsi="楷体_GB2312" w:eastAsia="仿宋_GB2312" w:cs="楷体_GB2312"/>
          <w:color w:val="000000"/>
          <w:kern w:val="0"/>
          <w:sz w:val="32"/>
          <w:szCs w:val="32"/>
          <w:lang w:bidi="ar"/>
        </w:rPr>
        <w:t>1.微课程基本信息。</w:t>
      </w:r>
      <w:r>
        <w:rPr>
          <w:rFonts w:hint="eastAsia" w:ascii="仿宋_GB2312" w:hAnsi="仿宋" w:eastAsia="仿宋_GB2312" w:cs="仿宋_GB2312"/>
          <w:color w:val="000000"/>
          <w:kern w:val="0"/>
          <w:sz w:val="32"/>
          <w:szCs w:val="32"/>
          <w:lang w:bidi="ar"/>
        </w:rPr>
        <w:t>包括300字以内的微课程介绍、课程封面图片、课程负责人与承建团队教师个人信息等。</w:t>
      </w:r>
    </w:p>
    <w:p>
      <w:pPr>
        <w:pStyle w:val="3"/>
        <w:widowControl/>
        <w:snapToGrid w:val="0"/>
        <w:spacing w:line="560" w:lineRule="exact"/>
        <w:ind w:right="-86" w:firstLine="640" w:firstLineChars="200"/>
        <w:rPr>
          <w:rFonts w:hint="eastAsia" w:ascii="仿宋_GB2312" w:hAnsi="仿宋" w:eastAsia="仿宋_GB2312" w:cs="仿宋_GB2312"/>
          <w:sz w:val="32"/>
          <w:szCs w:val="32"/>
        </w:rPr>
      </w:pPr>
      <w:bookmarkStart w:id="0" w:name="_GoBack"/>
      <w:bookmarkEnd w:id="0"/>
      <w:r>
        <w:rPr>
          <w:rFonts w:hint="eastAsia" w:ascii="仿宋_GB2312" w:hAnsi="仿宋" w:eastAsia="仿宋_GB2312" w:cs="仿宋_GB2312"/>
          <w:color w:val="000000"/>
          <w:kern w:val="0"/>
          <w:sz w:val="32"/>
          <w:szCs w:val="32"/>
          <w:lang w:bidi="ar"/>
        </w:rPr>
        <w:t>2.思维导图。“思维导图”是运用图文并重的技巧，把各级知识的关系用相互隶属与相关的层级图表现出来，把关键词与图像、颜色等建立记忆链接。根据微课程内在知识点的逻辑关系，</w:t>
      </w:r>
      <w:r>
        <w:rPr>
          <w:rFonts w:hint="eastAsia" w:ascii="仿宋_GB2312" w:hAnsi="仿宋" w:eastAsia="仿宋_GB2312" w:cs="仿宋_GB2312"/>
          <w:kern w:val="0"/>
          <w:sz w:val="32"/>
          <w:szCs w:val="32"/>
          <w:lang w:bidi="ar"/>
        </w:rPr>
        <w:t>每门微课程制作一套统一的知识结构图。</w:t>
      </w:r>
    </w:p>
    <w:p>
      <w:pPr>
        <w:widowControl/>
        <w:snapToGrid w:val="0"/>
        <w:spacing w:line="560" w:lineRule="exact"/>
        <w:ind w:right="-86" w:firstLine="640" w:firstLineChars="200"/>
        <w:rPr>
          <w:rFonts w:hint="eastAsia" w:ascii="仿宋_GB2312" w:hAnsi="仿宋" w:eastAsia="仿宋_GB2312" w:cs="仿宋_GB2312"/>
          <w:color w:val="000000"/>
          <w:sz w:val="32"/>
          <w:szCs w:val="32"/>
        </w:rPr>
      </w:pPr>
      <w:r>
        <w:rPr>
          <w:rFonts w:hint="eastAsia" w:ascii="仿宋_GB2312" w:eastAsia="仿宋_GB2312" w:cs="仿宋_GB2312"/>
          <w:kern w:val="0"/>
          <w:sz w:val="32"/>
          <w:szCs w:val="32"/>
          <w:lang w:bidi="ar"/>
        </w:rPr>
        <w:t>3.</w:t>
      </w:r>
      <w:r>
        <w:rPr>
          <w:rFonts w:hint="eastAsia" w:ascii="仿宋_GB2312" w:hAnsi="仿宋" w:eastAsia="仿宋_GB2312" w:cs="仿宋_GB2312"/>
          <w:color w:val="000000"/>
          <w:kern w:val="0"/>
          <w:sz w:val="32"/>
          <w:szCs w:val="32"/>
        </w:rPr>
        <w:t>知识（技能）点清单参照下列格式编目整理：</w:t>
      </w:r>
    </w:p>
    <w:tbl>
      <w:tblPr>
        <w:tblStyle w:val="4"/>
        <w:tblW w:w="9100" w:type="dxa"/>
        <w:tblInd w:w="0" w:type="dxa"/>
        <w:tblLayout w:type="fixed"/>
        <w:tblCellMar>
          <w:top w:w="0" w:type="dxa"/>
          <w:left w:w="108" w:type="dxa"/>
          <w:bottom w:w="0" w:type="dxa"/>
          <w:right w:w="108" w:type="dxa"/>
        </w:tblCellMar>
      </w:tblPr>
      <w:tblGrid>
        <w:gridCol w:w="1187"/>
        <w:gridCol w:w="539"/>
        <w:gridCol w:w="539"/>
        <w:gridCol w:w="719"/>
        <w:gridCol w:w="1064"/>
        <w:gridCol w:w="2714"/>
        <w:gridCol w:w="899"/>
        <w:gridCol w:w="1439"/>
      </w:tblGrid>
      <w:tr>
        <w:tblPrEx>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适用学科</w:t>
            </w:r>
          </w:p>
        </w:tc>
        <w:tc>
          <w:tcPr>
            <w:tcW w:w="5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年级</w:t>
            </w:r>
          </w:p>
        </w:tc>
        <w:tc>
          <w:tcPr>
            <w:tcW w:w="5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单元编号</w:t>
            </w:r>
          </w:p>
        </w:tc>
        <w:tc>
          <w:tcPr>
            <w:tcW w:w="71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知识点编号</w:t>
            </w:r>
          </w:p>
        </w:tc>
        <w:tc>
          <w:tcPr>
            <w:tcW w:w="1064"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知识点名称</w:t>
            </w:r>
          </w:p>
        </w:tc>
        <w:tc>
          <w:tcPr>
            <w:tcW w:w="2714"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知识点描述</w:t>
            </w:r>
          </w:p>
        </w:tc>
        <w:tc>
          <w:tcPr>
            <w:tcW w:w="89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目标类型</w:t>
            </w:r>
          </w:p>
        </w:tc>
        <w:tc>
          <w:tcPr>
            <w:tcW w:w="14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6"/>
              <w:rPr>
                <w:rFonts w:hint="eastAsia" w:ascii="黑体" w:hAnsi="黑体" w:eastAsia="黑体" w:cs="仿宋_GB2312"/>
                <w:color w:val="000000"/>
                <w:sz w:val="32"/>
                <w:szCs w:val="32"/>
              </w:rPr>
            </w:pPr>
            <w:r>
              <w:rPr>
                <w:rFonts w:hint="eastAsia" w:ascii="黑体" w:hAnsi="黑体" w:eastAsia="黑体" w:cs="宋体"/>
                <w:b w:val="0"/>
                <w:kern w:val="0"/>
                <w:sz w:val="18"/>
                <w:szCs w:val="18"/>
              </w:rPr>
              <w:t>关联知识点编号</w:t>
            </w:r>
          </w:p>
        </w:tc>
      </w:tr>
      <w:tr>
        <w:tblPrEx>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例：小学数学</w:t>
            </w:r>
          </w:p>
        </w:tc>
        <w:tc>
          <w:tcPr>
            <w:tcW w:w="5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90" w:firstLineChars="50"/>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五</w:t>
            </w:r>
          </w:p>
        </w:tc>
        <w:tc>
          <w:tcPr>
            <w:tcW w:w="5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01</w:t>
            </w:r>
          </w:p>
        </w:tc>
        <w:tc>
          <w:tcPr>
            <w:tcW w:w="71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01</w:t>
            </w:r>
          </w:p>
        </w:tc>
        <w:tc>
          <w:tcPr>
            <w:tcW w:w="1064"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小数乘整数</w:t>
            </w:r>
          </w:p>
        </w:tc>
        <w:tc>
          <w:tcPr>
            <w:tcW w:w="2714"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探索理解小数乘整数的计算方法，正确进行相关的口算和笔算。</w:t>
            </w:r>
          </w:p>
        </w:tc>
        <w:tc>
          <w:tcPr>
            <w:tcW w:w="89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理解</w:t>
            </w:r>
          </w:p>
        </w:tc>
        <w:tc>
          <w:tcPr>
            <w:tcW w:w="14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p>
        </w:tc>
      </w:tr>
      <w:tr>
        <w:tblPrEx>
          <w:tblCellMar>
            <w:top w:w="0" w:type="dxa"/>
            <w:left w:w="108" w:type="dxa"/>
            <w:bottom w:w="0" w:type="dxa"/>
            <w:right w:w="108" w:type="dxa"/>
          </w:tblCellMar>
        </w:tblPrEx>
        <w:tc>
          <w:tcPr>
            <w:tcW w:w="1187" w:type="dxa"/>
            <w:tcBorders>
              <w:top w:val="single" w:color="auto" w:sz="4" w:space="0"/>
              <w:left w:val="single" w:color="auto" w:sz="4" w:space="0"/>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p>
        </w:tc>
        <w:tc>
          <w:tcPr>
            <w:tcW w:w="5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90" w:firstLineChars="50"/>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五</w:t>
            </w:r>
          </w:p>
        </w:tc>
        <w:tc>
          <w:tcPr>
            <w:tcW w:w="5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01</w:t>
            </w:r>
          </w:p>
        </w:tc>
        <w:tc>
          <w:tcPr>
            <w:tcW w:w="71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02</w:t>
            </w:r>
          </w:p>
        </w:tc>
        <w:tc>
          <w:tcPr>
            <w:tcW w:w="1064"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积的近似数</w:t>
            </w:r>
          </w:p>
        </w:tc>
        <w:tc>
          <w:tcPr>
            <w:tcW w:w="2714"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能根据要求用四舍五入的方法求出小数乘法的积的近似值。</w:t>
            </w:r>
          </w:p>
        </w:tc>
        <w:tc>
          <w:tcPr>
            <w:tcW w:w="89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掌握</w:t>
            </w:r>
          </w:p>
        </w:tc>
        <w:tc>
          <w:tcPr>
            <w:tcW w:w="143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rPr>
                <w:rFonts w:hint="eastAsia" w:ascii="仿宋_GB2312" w:hAnsi="仿宋" w:eastAsia="仿宋_GB2312" w:cs="仿宋_GB2312"/>
                <w:color w:val="000000"/>
                <w:sz w:val="18"/>
                <w:szCs w:val="18"/>
              </w:rPr>
            </w:pPr>
            <w:r>
              <w:rPr>
                <w:rFonts w:hint="eastAsia" w:ascii="仿宋_GB2312" w:hAnsi="仿宋" w:eastAsia="仿宋_GB2312" w:cs="仿宋_GB2312"/>
                <w:color w:val="000000"/>
                <w:kern w:val="0"/>
                <w:sz w:val="18"/>
                <w:szCs w:val="18"/>
              </w:rPr>
              <w:t>01单元01</w:t>
            </w:r>
          </w:p>
        </w:tc>
      </w:tr>
    </w:tbl>
    <w:p>
      <w:pPr>
        <w:pStyle w:val="3"/>
        <w:widowControl/>
        <w:snapToGrid w:val="0"/>
        <w:spacing w:line="560" w:lineRule="exact"/>
        <w:ind w:firstLine="640" w:firstLineChars="200"/>
        <w:jc w:val="left"/>
        <w:outlineLvl w:val="1"/>
        <w:rPr>
          <w:rFonts w:hint="eastAsia" w:ascii="仿宋_GB2312" w:hAnsi="仿宋" w:eastAsia="仿宋_GB2312" w:cs="仿宋_GB2312"/>
          <w:color w:val="000000"/>
          <w:sz w:val="32"/>
          <w:szCs w:val="32"/>
        </w:rPr>
      </w:pPr>
      <w:r>
        <w:rPr>
          <w:rFonts w:hint="eastAsia" w:ascii="仿宋_GB2312" w:hAnsi="仿宋" w:eastAsia="仿宋_GB2312" w:cs="仿宋_GB2312"/>
          <w:color w:val="000000"/>
          <w:kern w:val="0"/>
          <w:sz w:val="32"/>
          <w:szCs w:val="32"/>
        </w:rPr>
        <w:t>为帮助学习者更好地自我检测学习内容的掌握情况，也便于提供课程开发教师直观有效地掌握课程学习者的学习状况，有效调整、修改课程内容，须提供课程学习阶段性（中期和末期）综合卷各1套及相关评测标准和参考答案。非学科指导类微课程可根据课程实际情况编辑两套针对学习者的评测练习，并提供参考标准。</w:t>
      </w:r>
    </w:p>
    <w:p>
      <w:pPr>
        <w:pStyle w:val="3"/>
        <w:widowControl/>
        <w:snapToGrid w:val="0"/>
        <w:spacing w:line="560" w:lineRule="exact"/>
        <w:ind w:firstLine="640" w:firstLineChars="200"/>
        <w:outlineLvl w:val="1"/>
        <w:rPr>
          <w:rFonts w:hint="eastAsia" w:ascii="仿宋_GB2312" w:hAnsi="仿宋" w:eastAsia="仿宋_GB2312" w:cs="仿宋_GB2312"/>
          <w:color w:val="000000"/>
          <w:sz w:val="32"/>
          <w:szCs w:val="32"/>
        </w:rPr>
      </w:pPr>
      <w:r>
        <w:rPr>
          <w:rFonts w:hint="eastAsia" w:ascii="仿宋_GB2312" w:hAnsi="楷体_GB2312" w:eastAsia="仿宋_GB2312" w:cs="楷体_GB2312"/>
          <w:color w:val="000000"/>
          <w:kern w:val="0"/>
          <w:sz w:val="32"/>
          <w:szCs w:val="32"/>
        </w:rPr>
        <w:t>5.微视频。</w:t>
      </w:r>
      <w:r>
        <w:rPr>
          <w:rFonts w:hint="eastAsia" w:ascii="仿宋_GB2312" w:hAnsi="仿宋" w:eastAsia="仿宋_GB2312" w:cs="仿宋_GB2312"/>
          <w:color w:val="000000"/>
          <w:kern w:val="0"/>
          <w:sz w:val="32"/>
          <w:szCs w:val="32"/>
        </w:rPr>
        <w:t>微视频是微课程的主要载体。每个微视频具有相对完整的结构，对应知识点清单中的每个知识点，重点解决一个问题。微视频之间须紧紧围绕“知识结构图”系统化设计，体现内在知识体系关联。每个微视频时长原则上为5-8分钟，最长不超过10分钟，命名与提供的知识点清单目上的知识点名称、排序、数量完全对应。未经压缩的视频源文件请妥善留存，以备后用。</w:t>
      </w:r>
    </w:p>
    <w:p>
      <w:pPr>
        <w:pStyle w:val="3"/>
        <w:widowControl/>
        <w:snapToGrid w:val="0"/>
        <w:spacing w:line="560" w:lineRule="exact"/>
        <w:ind w:right="0" w:firstLine="640" w:firstLineChars="200"/>
        <w:outlineLvl w:val="1"/>
        <w:rPr>
          <w:rFonts w:hint="eastAsia" w:ascii="仿宋_GB2312" w:hAnsi="仿宋" w:eastAsia="仿宋_GB2312" w:cs="仿宋_GB2312"/>
          <w:color w:val="000000"/>
          <w:sz w:val="32"/>
          <w:szCs w:val="32"/>
        </w:rPr>
      </w:pPr>
      <w:r>
        <w:rPr>
          <w:rFonts w:hint="eastAsia" w:ascii="仿宋_GB2312" w:hAnsi="楷体_GB2312" w:eastAsia="仿宋_GB2312" w:cs="楷体_GB2312"/>
          <w:color w:val="000000"/>
          <w:kern w:val="0"/>
          <w:sz w:val="32"/>
          <w:szCs w:val="32"/>
        </w:rPr>
        <w:t>6.微练习。</w:t>
      </w:r>
      <w:r>
        <w:rPr>
          <w:rFonts w:hint="eastAsia" w:ascii="仿宋_GB2312" w:hAnsi="仿宋" w:eastAsia="仿宋_GB2312" w:cs="仿宋_GB2312"/>
          <w:color w:val="000000"/>
          <w:kern w:val="0"/>
          <w:sz w:val="32"/>
          <w:szCs w:val="32"/>
        </w:rPr>
        <w:t>主要用于学习者自我评测或引导学习者开展进一步拓展性思考。每个微视频要求设计3个左右的相应练习题，并给出参考答案。</w:t>
      </w:r>
    </w:p>
    <w:p>
      <w:pPr>
        <w:pStyle w:val="3"/>
        <w:widowControl/>
        <w:snapToGrid w:val="0"/>
        <w:spacing w:line="560" w:lineRule="exact"/>
        <w:ind w:right="0" w:firstLine="640" w:firstLineChars="200"/>
        <w:outlineLvl w:val="1"/>
        <w:rPr>
          <w:rFonts w:hint="eastAsia" w:ascii="仿宋_GB2312" w:hAnsi="仿宋" w:eastAsia="仿宋_GB2312" w:cs="仿宋_GB2312"/>
          <w:color w:val="000000"/>
          <w:sz w:val="32"/>
          <w:szCs w:val="32"/>
        </w:rPr>
      </w:pPr>
      <w:r>
        <w:rPr>
          <w:rFonts w:hint="eastAsia" w:ascii="仿宋_GB2312" w:hAnsi="楷体_GB2312" w:eastAsia="仿宋_GB2312" w:cs="楷体_GB2312"/>
          <w:color w:val="000000"/>
          <w:kern w:val="0"/>
          <w:sz w:val="32"/>
          <w:szCs w:val="32"/>
        </w:rPr>
        <w:t>7.学习任务单。</w:t>
      </w:r>
      <w:r>
        <w:rPr>
          <w:rFonts w:hint="eastAsia" w:ascii="仿宋_GB2312" w:hAnsi="仿宋" w:eastAsia="仿宋_GB2312" w:cs="仿宋_GB2312"/>
          <w:color w:val="000000"/>
          <w:kern w:val="0"/>
          <w:sz w:val="32"/>
          <w:szCs w:val="32"/>
        </w:rPr>
        <w:t>“学习任务单”是由教师设计，用于为学习者自主学习微课程提供“学什么和怎样学”建议的学习导航，包括学习任务、学习过程、学习方法建议以及配套学习资源推荐。学习任务单强调任务驱动和问题导向，把学习任务转化为激发学生思考的问题，让学生在问题解决过程中达成学习目标。要求每个知识点学习资源中与微视频配套设计1个学习任务单。文件格式：WORD。参考格式如下：</w:t>
      </w:r>
    </w:p>
    <w:tbl>
      <w:tblPr>
        <w:tblStyle w:val="4"/>
        <w:tblW w:w="8039" w:type="dxa"/>
        <w:jc w:val="center"/>
        <w:tblLayout w:type="fixed"/>
        <w:tblCellMar>
          <w:top w:w="0" w:type="dxa"/>
          <w:left w:w="108" w:type="dxa"/>
          <w:bottom w:w="0" w:type="dxa"/>
          <w:right w:w="108" w:type="dxa"/>
        </w:tblCellMar>
      </w:tblPr>
      <w:tblGrid>
        <w:gridCol w:w="811"/>
        <w:gridCol w:w="7228"/>
      </w:tblGrid>
      <w:tr>
        <w:trPr>
          <w:cantSplit/>
          <w:jc w:val="center"/>
        </w:trPr>
        <w:tc>
          <w:tcPr>
            <w:tcW w:w="811" w:type="dxa"/>
            <w:vMerge w:val="restart"/>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b/>
                <w:color w:val="000000"/>
              </w:rPr>
            </w:pPr>
          </w:p>
          <w:p>
            <w:pPr>
              <w:rPr>
                <w:rFonts w:hint="eastAsia" w:ascii="宋体" w:hAnsi="宋体" w:cs="宋体"/>
                <w:b/>
                <w:color w:val="000000"/>
              </w:rPr>
            </w:pPr>
          </w:p>
          <w:p>
            <w:pPr>
              <w:rPr>
                <w:rFonts w:hint="eastAsia" w:ascii="宋体" w:hAnsi="宋体" w:cs="宋体"/>
                <w:b/>
                <w:color w:val="000000"/>
              </w:rPr>
            </w:pPr>
            <w:r>
              <w:rPr>
                <w:rFonts w:hint="eastAsia" w:ascii="宋体" w:hAnsi="宋体" w:cs="宋体"/>
                <w:b/>
                <w:color w:val="000000"/>
                <w:szCs w:val="21"/>
                <w:lang w:bidi="ar"/>
              </w:rPr>
              <w:t>学</w:t>
            </w:r>
          </w:p>
          <w:p>
            <w:pPr>
              <w:rPr>
                <w:rFonts w:hint="eastAsia" w:ascii="宋体" w:hAnsi="宋体" w:cs="宋体"/>
                <w:b/>
                <w:color w:val="000000"/>
              </w:rPr>
            </w:pPr>
            <w:r>
              <w:rPr>
                <w:rFonts w:hint="eastAsia" w:ascii="宋体" w:hAnsi="宋体" w:cs="宋体"/>
                <w:b/>
                <w:color w:val="000000"/>
                <w:szCs w:val="21"/>
                <w:lang w:bidi="ar"/>
              </w:rPr>
              <w:t>习</w:t>
            </w:r>
          </w:p>
          <w:p>
            <w:pPr>
              <w:rPr>
                <w:rFonts w:hint="eastAsia" w:ascii="宋体" w:hAnsi="宋体" w:cs="宋体"/>
                <w:b/>
                <w:color w:val="000000"/>
              </w:rPr>
            </w:pPr>
            <w:r>
              <w:rPr>
                <w:rFonts w:hint="eastAsia" w:ascii="宋体" w:hAnsi="宋体" w:cs="宋体"/>
                <w:b/>
                <w:color w:val="000000"/>
                <w:szCs w:val="21"/>
                <w:lang w:bidi="ar"/>
              </w:rPr>
              <w:t>任</w:t>
            </w:r>
          </w:p>
          <w:p>
            <w:pPr>
              <w:rPr>
                <w:rFonts w:hint="eastAsia" w:ascii="宋体" w:hAnsi="宋体" w:cs="宋体"/>
                <w:b/>
                <w:color w:val="000000"/>
              </w:rPr>
            </w:pPr>
            <w:r>
              <w:rPr>
                <w:rFonts w:hint="eastAsia" w:ascii="宋体" w:hAnsi="宋体" w:cs="宋体"/>
                <w:b/>
                <w:color w:val="000000"/>
                <w:szCs w:val="21"/>
                <w:lang w:bidi="ar"/>
              </w:rPr>
              <w:t>务</w:t>
            </w:r>
          </w:p>
          <w:p>
            <w:pPr>
              <w:rPr>
                <w:rFonts w:hint="eastAsia" w:ascii="宋体" w:hAnsi="宋体" w:cs="宋体"/>
                <w:b/>
                <w:color w:val="000000"/>
              </w:rPr>
            </w:pPr>
            <w:r>
              <w:rPr>
                <w:rFonts w:hint="eastAsia" w:ascii="宋体" w:hAnsi="宋体" w:cs="宋体"/>
                <w:b/>
                <w:color w:val="000000"/>
                <w:szCs w:val="21"/>
                <w:lang w:bidi="ar"/>
              </w:rPr>
              <w:t>单</w:t>
            </w:r>
          </w:p>
        </w:tc>
        <w:tc>
          <w:tcPr>
            <w:tcW w:w="7228" w:type="dxa"/>
            <w:tcBorders>
              <w:top w:val="single" w:color="auto" w:sz="4" w:space="0"/>
              <w:left w:val="nil"/>
              <w:bottom w:val="single" w:color="auto" w:sz="4" w:space="0"/>
              <w:right w:val="single" w:color="auto" w:sz="4" w:space="0"/>
            </w:tcBorders>
            <w:noWrap w:val="0"/>
            <w:vAlign w:val="top"/>
          </w:tcPr>
          <w:p>
            <w:pPr>
              <w:rPr>
                <w:b/>
                <w:color w:val="000000"/>
              </w:rPr>
            </w:pPr>
            <w:r>
              <w:rPr>
                <w:rFonts w:hint="eastAsia" w:ascii="宋体" w:hAnsi="宋体" w:cs="宋体"/>
                <w:b/>
                <w:color w:val="000000"/>
                <w:szCs w:val="21"/>
                <w:lang w:bidi="ar"/>
              </w:rPr>
              <w:t xml:space="preserve">一、学习指南  </w:t>
            </w:r>
          </w:p>
        </w:tc>
      </w:tr>
      <w:tr>
        <w:tblPrEx>
          <w:tblCellMar>
            <w:top w:w="0" w:type="dxa"/>
            <w:left w:w="108" w:type="dxa"/>
            <w:bottom w:w="0" w:type="dxa"/>
            <w:right w:w="108" w:type="dxa"/>
          </w:tblCellMar>
        </w:tblPrEx>
        <w:trPr>
          <w:cantSpli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top"/>
          </w:tcPr>
          <w:p>
            <w:pPr>
              <w:rPr>
                <w:sz w:val="20"/>
                <w:szCs w:val="20"/>
              </w:rPr>
            </w:pPr>
          </w:p>
        </w:tc>
        <w:tc>
          <w:tcPr>
            <w:tcW w:w="722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000000"/>
              </w:rPr>
            </w:pPr>
            <w:r>
              <w:rPr>
                <w:rFonts w:hint="eastAsia" w:ascii="宋体" w:hAnsi="宋体" w:cs="宋体"/>
                <w:color w:val="000000"/>
                <w:szCs w:val="21"/>
                <w:lang w:bidi="ar"/>
              </w:rPr>
              <w:t>1．“微课程”名称：</w:t>
            </w:r>
          </w:p>
        </w:tc>
      </w:tr>
      <w:tr>
        <w:tblPrEx>
          <w:tblCellMar>
            <w:top w:w="0" w:type="dxa"/>
            <w:left w:w="108" w:type="dxa"/>
            <w:bottom w:w="0" w:type="dxa"/>
            <w:right w:w="108" w:type="dxa"/>
          </w:tblCellMar>
        </w:tblPrEx>
        <w:trPr>
          <w:cantSplit/>
          <w:trHeight w:val="90" w:hRule="atLeas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top"/>
          </w:tcPr>
          <w:p>
            <w:pPr>
              <w:rPr>
                <w:sz w:val="20"/>
                <w:szCs w:val="20"/>
              </w:rPr>
            </w:pPr>
          </w:p>
        </w:tc>
        <w:tc>
          <w:tcPr>
            <w:tcW w:w="7228" w:type="dxa"/>
            <w:tcBorders>
              <w:top w:val="single" w:color="auto" w:sz="4" w:space="0"/>
              <w:left w:val="nil"/>
              <w:bottom w:val="single" w:color="auto" w:sz="4" w:space="0"/>
              <w:right w:val="single" w:color="auto" w:sz="4" w:space="0"/>
            </w:tcBorders>
            <w:noWrap w:val="0"/>
            <w:vAlign w:val="top"/>
          </w:tcPr>
          <w:p>
            <w:pPr>
              <w:ind w:left="210" w:hanging="210" w:hangingChars="100"/>
              <w:jc w:val="left"/>
              <w:rPr>
                <w:rFonts w:hint="eastAsia" w:ascii="宋体" w:hAnsi="宋体" w:cs="宋体"/>
                <w:color w:val="000000"/>
              </w:rPr>
            </w:pPr>
            <w:r>
              <w:rPr>
                <w:rFonts w:hint="eastAsia" w:ascii="宋体" w:hAnsi="宋体" w:cs="宋体"/>
                <w:color w:val="000000"/>
                <w:szCs w:val="21"/>
                <w:lang w:bidi="ar"/>
              </w:rPr>
              <w:t>2.达成目标：</w:t>
            </w:r>
          </w:p>
        </w:tc>
      </w:tr>
      <w:tr>
        <w:tblPrEx>
          <w:tblCellMar>
            <w:top w:w="0" w:type="dxa"/>
            <w:left w:w="108" w:type="dxa"/>
            <w:bottom w:w="0" w:type="dxa"/>
            <w:right w:w="108" w:type="dxa"/>
          </w:tblCellMar>
        </w:tblPrEx>
        <w:trPr>
          <w:cantSpli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top"/>
          </w:tcPr>
          <w:p>
            <w:pPr>
              <w:rPr>
                <w:sz w:val="20"/>
                <w:szCs w:val="20"/>
              </w:rPr>
            </w:pPr>
          </w:p>
        </w:tc>
        <w:tc>
          <w:tcPr>
            <w:tcW w:w="7228" w:type="dxa"/>
            <w:tcBorders>
              <w:top w:val="single" w:color="auto" w:sz="4" w:space="0"/>
              <w:left w:val="nil"/>
              <w:bottom w:val="single" w:color="auto" w:sz="4" w:space="0"/>
              <w:right w:val="single" w:color="auto" w:sz="4" w:space="0"/>
            </w:tcBorders>
            <w:noWrap w:val="0"/>
            <w:vAlign w:val="top"/>
          </w:tcPr>
          <w:p>
            <w:pPr>
              <w:ind w:left="210" w:hanging="210" w:hangingChars="100"/>
              <w:jc w:val="left"/>
              <w:rPr>
                <w:rFonts w:hint="eastAsia" w:ascii="宋体" w:hAnsi="宋体" w:cs="宋体"/>
                <w:color w:val="000000"/>
              </w:rPr>
            </w:pPr>
            <w:r>
              <w:rPr>
                <w:rFonts w:hint="eastAsia" w:ascii="宋体" w:hAnsi="宋体" w:cs="宋体"/>
                <w:color w:val="000000"/>
                <w:szCs w:val="21"/>
                <w:lang w:bidi="ar"/>
              </w:rPr>
              <w:t>3.学习方法建议：</w:t>
            </w:r>
          </w:p>
        </w:tc>
      </w:tr>
      <w:tr>
        <w:tblPrEx>
          <w:tblCellMar>
            <w:top w:w="0" w:type="dxa"/>
            <w:left w:w="108" w:type="dxa"/>
            <w:bottom w:w="0" w:type="dxa"/>
            <w:right w:w="108" w:type="dxa"/>
          </w:tblCellMar>
        </w:tblPrEx>
        <w:trPr>
          <w:cantSplit/>
          <w:trHeight w:val="412" w:hRule="atLeas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top"/>
          </w:tcPr>
          <w:p>
            <w:pPr>
              <w:rPr>
                <w:sz w:val="20"/>
                <w:szCs w:val="20"/>
              </w:rPr>
            </w:pPr>
          </w:p>
        </w:tc>
        <w:tc>
          <w:tcPr>
            <w:tcW w:w="7228" w:type="dxa"/>
            <w:tcBorders>
              <w:top w:val="single" w:color="auto" w:sz="4" w:space="0"/>
              <w:left w:val="nil"/>
              <w:bottom w:val="single" w:color="auto" w:sz="4" w:space="0"/>
              <w:right w:val="single" w:color="auto" w:sz="4" w:space="0"/>
            </w:tcBorders>
            <w:noWrap w:val="0"/>
            <w:vAlign w:val="top"/>
          </w:tcPr>
          <w:p>
            <w:pPr>
              <w:rPr>
                <w:rFonts w:hint="eastAsia" w:ascii="宋体" w:hAnsi="宋体" w:cs="宋体"/>
                <w:color w:val="000000"/>
              </w:rPr>
            </w:pPr>
            <w:r>
              <w:rPr>
                <w:rFonts w:hint="eastAsia" w:ascii="宋体" w:hAnsi="宋体" w:cs="宋体"/>
                <w:color w:val="000000"/>
                <w:szCs w:val="21"/>
                <w:lang w:bidi="ar"/>
              </w:rPr>
              <w:t>4.学习形式预告：</w:t>
            </w:r>
          </w:p>
        </w:tc>
      </w:tr>
      <w:tr>
        <w:tblPrEx>
          <w:tblCellMar>
            <w:top w:w="0" w:type="dxa"/>
            <w:left w:w="108" w:type="dxa"/>
            <w:bottom w:w="0" w:type="dxa"/>
            <w:right w:w="108" w:type="dxa"/>
          </w:tblCellMar>
        </w:tblPrEx>
        <w:trPr>
          <w:cantSpli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top"/>
          </w:tcPr>
          <w:p>
            <w:pPr>
              <w:rPr>
                <w:sz w:val="20"/>
                <w:szCs w:val="20"/>
              </w:rPr>
            </w:pPr>
          </w:p>
        </w:tc>
        <w:tc>
          <w:tcPr>
            <w:tcW w:w="7228" w:type="dxa"/>
            <w:tcBorders>
              <w:top w:val="single" w:color="auto" w:sz="4" w:space="0"/>
              <w:left w:val="nil"/>
              <w:bottom w:val="single" w:color="auto" w:sz="4" w:space="0"/>
              <w:right w:val="single" w:color="auto" w:sz="4" w:space="0"/>
            </w:tcBorders>
            <w:noWrap w:val="0"/>
            <w:vAlign w:val="top"/>
          </w:tcPr>
          <w:p>
            <w:pPr>
              <w:rPr>
                <w:b/>
                <w:color w:val="000000"/>
              </w:rPr>
            </w:pPr>
            <w:r>
              <w:rPr>
                <w:rFonts w:hint="eastAsia" w:ascii="宋体" w:hAnsi="宋体" w:cs="宋体"/>
                <w:b/>
                <w:color w:val="000000"/>
                <w:szCs w:val="21"/>
                <w:lang w:bidi="ar"/>
              </w:rPr>
              <w:t>二、学习任务</w:t>
            </w:r>
          </w:p>
        </w:tc>
      </w:tr>
      <w:tr>
        <w:tblPrEx>
          <w:tblCellMar>
            <w:top w:w="0" w:type="dxa"/>
            <w:left w:w="108" w:type="dxa"/>
            <w:bottom w:w="0" w:type="dxa"/>
            <w:right w:w="108" w:type="dxa"/>
          </w:tblCellMar>
        </w:tblPrEx>
        <w:trPr>
          <w:cantSpli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top"/>
          </w:tcPr>
          <w:p>
            <w:pPr>
              <w:rPr>
                <w:sz w:val="20"/>
                <w:szCs w:val="20"/>
              </w:rPr>
            </w:pPr>
          </w:p>
        </w:tc>
        <w:tc>
          <w:tcPr>
            <w:tcW w:w="7228" w:type="dxa"/>
            <w:tcBorders>
              <w:top w:val="single" w:color="auto" w:sz="4" w:space="0"/>
              <w:left w:val="nil"/>
              <w:bottom w:val="single" w:color="auto" w:sz="4" w:space="0"/>
              <w:right w:val="single" w:color="auto" w:sz="4" w:space="0"/>
            </w:tcBorders>
            <w:noWrap w:val="0"/>
            <w:vAlign w:val="top"/>
          </w:tcPr>
          <w:p>
            <w:pPr>
              <w:rPr>
                <w:b/>
                <w:color w:val="000000"/>
              </w:rPr>
            </w:pPr>
            <w:r>
              <w:rPr>
                <w:rFonts w:hint="eastAsia" w:ascii="宋体" w:hAnsi="宋体" w:cs="宋体"/>
                <w:b/>
                <w:color w:val="000000"/>
                <w:szCs w:val="21"/>
                <w:lang w:bidi="ar"/>
              </w:rPr>
              <w:t>三、资源链接</w:t>
            </w:r>
          </w:p>
        </w:tc>
      </w:tr>
      <w:tr>
        <w:tblPrEx>
          <w:tblCellMar>
            <w:top w:w="0" w:type="dxa"/>
            <w:left w:w="108" w:type="dxa"/>
            <w:bottom w:w="0" w:type="dxa"/>
            <w:right w:w="108" w:type="dxa"/>
          </w:tblCellMar>
        </w:tblPrEx>
        <w:trPr>
          <w:cantSplit/>
          <w:jc w:val="center"/>
        </w:trPr>
        <w:tc>
          <w:tcPr>
            <w:tcW w:w="811" w:type="dxa"/>
            <w:vMerge w:val="continue"/>
            <w:tcBorders>
              <w:top w:val="single" w:color="auto" w:sz="4" w:space="0"/>
              <w:left w:val="single" w:color="auto" w:sz="4" w:space="0"/>
              <w:bottom w:val="single" w:color="auto" w:sz="4" w:space="0"/>
              <w:right w:val="single" w:color="auto" w:sz="4" w:space="0"/>
            </w:tcBorders>
            <w:noWrap w:val="0"/>
            <w:vAlign w:val="top"/>
          </w:tcPr>
          <w:p>
            <w:pPr>
              <w:rPr>
                <w:sz w:val="20"/>
                <w:szCs w:val="20"/>
              </w:rPr>
            </w:pPr>
          </w:p>
        </w:tc>
        <w:tc>
          <w:tcPr>
            <w:tcW w:w="7228" w:type="dxa"/>
            <w:tcBorders>
              <w:top w:val="single" w:color="auto" w:sz="4" w:space="0"/>
              <w:left w:val="nil"/>
              <w:bottom w:val="single" w:color="auto" w:sz="4" w:space="0"/>
              <w:right w:val="single" w:color="auto" w:sz="4" w:space="0"/>
            </w:tcBorders>
            <w:noWrap w:val="0"/>
            <w:vAlign w:val="top"/>
          </w:tcPr>
          <w:p>
            <w:pPr>
              <w:rPr>
                <w:color w:val="000000"/>
                <w:sz w:val="18"/>
                <w:szCs w:val="18"/>
              </w:rPr>
            </w:pPr>
            <w:r>
              <w:rPr>
                <w:rFonts w:hint="eastAsia" w:ascii="宋体" w:hAnsi="宋体" w:cs="宋体"/>
                <w:b/>
                <w:color w:val="000000"/>
                <w:szCs w:val="21"/>
                <w:lang w:bidi="ar"/>
              </w:rPr>
              <w:t>四、困惑与建议</w:t>
            </w:r>
            <w:r>
              <w:rPr>
                <w:rFonts w:hint="eastAsia" w:ascii="宋体" w:hAnsi="宋体" w:cs="宋体"/>
                <w:color w:val="000000"/>
                <w:sz w:val="18"/>
                <w:szCs w:val="18"/>
                <w:lang w:bidi="ar"/>
              </w:rPr>
              <w:t>（提示：此项由学生自主学习之后填写）</w:t>
            </w:r>
          </w:p>
        </w:tc>
      </w:tr>
    </w:tbl>
    <w:p>
      <w:pPr>
        <w:pStyle w:val="3"/>
        <w:widowControl/>
        <w:spacing w:line="560" w:lineRule="exact"/>
        <w:ind w:firstLine="643" w:firstLineChars="200"/>
        <w:outlineLvl w:val="1"/>
        <w:rPr>
          <w:rFonts w:hint="eastAsia" w:ascii="楷体_GB2312" w:hAnsi="宋体" w:eastAsia="楷体_GB2312" w:cs="楷体_GB2312"/>
          <w:b/>
          <w:color w:val="000000"/>
          <w:sz w:val="32"/>
          <w:szCs w:val="32"/>
        </w:rPr>
      </w:pPr>
      <w:r>
        <w:rPr>
          <w:rFonts w:hint="eastAsia" w:ascii="楷体_GB2312" w:hAnsi="宋体" w:eastAsia="楷体_GB2312" w:cs="楷体_GB2312"/>
          <w:b/>
          <w:color w:val="000000"/>
          <w:kern w:val="0"/>
          <w:sz w:val="32"/>
          <w:szCs w:val="32"/>
        </w:rPr>
        <w:t>（三）中等职业教育组</w:t>
      </w:r>
    </w:p>
    <w:p>
      <w:pPr>
        <w:pStyle w:val="3"/>
        <w:widowControl/>
        <w:snapToGrid w:val="0"/>
        <w:spacing w:line="560" w:lineRule="exact"/>
        <w:ind w:right="-86" w:firstLine="64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1.中职数学公共基础课按照《2019年度中职基础在线开放课程建设指南》要求组织材料。</w:t>
      </w:r>
    </w:p>
    <w:p>
      <w:pPr>
        <w:pStyle w:val="3"/>
        <w:widowControl/>
        <w:snapToGrid w:val="0"/>
        <w:spacing w:line="560" w:lineRule="exact"/>
        <w:ind w:right="-86"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kern w:val="0"/>
          <w:sz w:val="32"/>
          <w:szCs w:val="32"/>
        </w:rPr>
        <w:t>2.技能大师微讲堂申报作品为系列微视频，视频数量不少于3个，单个视频时长5-10分钟。</w:t>
      </w:r>
    </w:p>
    <w:p>
      <w:pPr>
        <w:pStyle w:val="3"/>
        <w:widowControl/>
        <w:spacing w:line="560" w:lineRule="exact"/>
        <w:ind w:firstLine="643" w:firstLineChars="200"/>
        <w:outlineLvl w:val="1"/>
        <w:rPr>
          <w:rFonts w:hint="eastAsia"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（四）专项资源建设组</w:t>
      </w:r>
    </w:p>
    <w:p>
      <w:pPr>
        <w:pStyle w:val="3"/>
        <w:widowControl/>
        <w:spacing w:line="560" w:lineRule="exact"/>
        <w:ind w:firstLine="640" w:firstLineChars="200"/>
        <w:outlineLvl w:val="1"/>
        <w:rPr>
          <w:rFonts w:hint="eastAsia" w:ascii="仿宋_GB2312" w:hAnsi="Times New Roman" w:eastAsia="仿宋_GB2312" w:cs="仿宋_GB2312"/>
          <w:color w:val="000000"/>
          <w:kern w:val="0"/>
          <w:sz w:val="32"/>
          <w:szCs w:val="32"/>
        </w:rPr>
      </w:pPr>
      <w:r>
        <w:rPr>
          <w:rFonts w:hint="eastAsia" w:ascii="仿宋_GB2312" w:hAnsi="Times New Roman" w:eastAsia="仿宋_GB2312" w:cs="仿宋_GB2312"/>
          <w:color w:val="000000"/>
          <w:kern w:val="0"/>
          <w:sz w:val="32"/>
          <w:szCs w:val="32"/>
        </w:rPr>
        <w:t>名师专题微课程、名校专题微课程、义务教育拓展性网络课程、综合实践优质课程建设要求参照基础教育组微课程要求。其它补充要求如下：</w:t>
      </w:r>
    </w:p>
    <w:p>
      <w:pPr>
        <w:pStyle w:val="3"/>
        <w:spacing w:line="560" w:lineRule="exact"/>
        <w:ind w:firstLine="640" w:firstLineChars="200"/>
        <w:outlineLvl w:val="1"/>
        <w:rPr>
          <w:rFonts w:hint="eastAsia" w:ascii="仿宋_GB2312" w:hAnsi="Times New Roman" w:eastAsia="仿宋_GB2312" w:cs="仿宋_GB2312"/>
          <w:color w:val="000000"/>
          <w:kern w:val="0"/>
          <w:sz w:val="32"/>
          <w:szCs w:val="32"/>
        </w:rPr>
      </w:pPr>
      <w:r>
        <w:rPr>
          <w:rFonts w:hint="eastAsia" w:ascii="仿宋_GB2312" w:hAnsi="楷体_GB2312" w:eastAsia="仿宋_GB2312" w:cs="楷体_GB2312"/>
          <w:b w:val="0"/>
          <w:bCs/>
          <w:color w:val="000000"/>
          <w:kern w:val="0"/>
          <w:sz w:val="32"/>
          <w:szCs w:val="32"/>
        </w:rPr>
        <w:t>1.数字史料馆</w:t>
      </w:r>
      <w:r>
        <w:rPr>
          <w:rFonts w:hint="eastAsia" w:ascii="仿宋_GB2312" w:hAnsi="楷体_GB2312" w:eastAsia="仿宋_GB2312" w:cs="楷体_GB2312"/>
          <w:bCs/>
          <w:color w:val="000000"/>
          <w:kern w:val="0"/>
          <w:sz w:val="32"/>
          <w:szCs w:val="32"/>
        </w:rPr>
        <w:t>。</w:t>
      </w:r>
      <w:r>
        <w:rPr>
          <w:rFonts w:hint="eastAsia" w:ascii="仿宋_GB2312" w:hAnsi="Times New Roman" w:eastAsia="仿宋_GB2312" w:cs="仿宋_GB2312"/>
          <w:color w:val="000000"/>
          <w:kern w:val="0"/>
          <w:sz w:val="32"/>
          <w:szCs w:val="32"/>
        </w:rPr>
        <w:t>资源形式采用多媒体方式（网页、文本、图片、视音频等），具体要求参照http://museum.zjedu.org/PubNews/viewinfo.aspx?nid=1099。</w:t>
      </w:r>
    </w:p>
    <w:p>
      <w:pPr>
        <w:pStyle w:val="3"/>
        <w:widowControl/>
        <w:spacing w:line="560" w:lineRule="exact"/>
        <w:ind w:firstLine="640" w:firstLineChars="200"/>
        <w:outlineLvl w:val="1"/>
        <w:rPr>
          <w:rFonts w:hint="eastAsia" w:ascii="仿宋_GB2312" w:hAnsi="宋体" w:eastAsia="仿宋_GB2312" w:cs="楷体_GB2312"/>
          <w:b/>
          <w:color w:val="000000"/>
          <w:kern w:val="0"/>
          <w:sz w:val="32"/>
          <w:szCs w:val="32"/>
        </w:rPr>
      </w:pPr>
      <w:r>
        <w:rPr>
          <w:rFonts w:hint="eastAsia" w:ascii="仿宋_GB2312" w:hAnsi="楷体_GB2312" w:eastAsia="仿宋_GB2312" w:cs="楷体_GB2312"/>
          <w:b w:val="0"/>
          <w:bCs/>
          <w:color w:val="000000"/>
          <w:kern w:val="0"/>
          <w:sz w:val="32"/>
          <w:szCs w:val="32"/>
        </w:rPr>
        <w:t>2.义务教育拓展性网络课程</w:t>
      </w:r>
      <w:r>
        <w:rPr>
          <w:rFonts w:hint="eastAsia" w:ascii="仿宋_GB2312" w:hAnsi="楷体_GB2312" w:eastAsia="仿宋_GB2312" w:cs="楷体_GB2312"/>
          <w:bCs/>
          <w:color w:val="000000"/>
          <w:kern w:val="0"/>
          <w:sz w:val="32"/>
          <w:szCs w:val="32"/>
        </w:rPr>
        <w:t>。</w:t>
      </w:r>
      <w:r>
        <w:rPr>
          <w:rFonts w:hint="eastAsia" w:ascii="仿宋_GB2312" w:hAnsi="Times New Roman" w:eastAsia="仿宋_GB2312" w:cs="仿宋_GB2312"/>
          <w:color w:val="000000"/>
          <w:kern w:val="0"/>
          <w:sz w:val="32"/>
          <w:szCs w:val="32"/>
        </w:rPr>
        <w:t>要求同时提交全册电子教材文档和相关资料，详细参见浙江教育网络电视（www.zjedu.tv）义务教育拓展性网络课程专页。</w:t>
      </w:r>
    </w:p>
    <w:p>
      <w:pPr>
        <w:pStyle w:val="3"/>
        <w:widowControl/>
        <w:spacing w:line="560" w:lineRule="exact"/>
        <w:ind w:firstLine="640" w:firstLineChars="200"/>
        <w:outlineLvl w:val="1"/>
        <w:rPr>
          <w:rFonts w:hint="eastAsia" w:ascii="仿宋_GB2312" w:hAnsi="仿宋" w:eastAsia="仿宋_GB2312" w:cs="仿宋_GB2312"/>
          <w:color w:val="000000"/>
          <w:sz w:val="32"/>
          <w:szCs w:val="32"/>
        </w:rPr>
      </w:pPr>
      <w:r>
        <w:rPr>
          <w:rFonts w:hint="eastAsia" w:ascii="仿宋_GB2312" w:hAnsi="楷体_GB2312" w:eastAsia="仿宋_GB2312" w:cs="楷体_GB2312"/>
          <w:b w:val="0"/>
          <w:bCs/>
          <w:color w:val="000000"/>
          <w:kern w:val="0"/>
          <w:sz w:val="32"/>
          <w:szCs w:val="32"/>
        </w:rPr>
        <w:t>3.综合实践优质课程</w:t>
      </w:r>
      <w:r>
        <w:rPr>
          <w:rFonts w:hint="eastAsia" w:ascii="仿宋_GB2312" w:hAnsi="楷体_GB2312" w:eastAsia="仿宋_GB2312" w:cs="楷体_GB2312"/>
          <w:bCs/>
          <w:color w:val="000000"/>
          <w:kern w:val="0"/>
          <w:sz w:val="32"/>
          <w:szCs w:val="32"/>
        </w:rPr>
        <w:t>。</w:t>
      </w:r>
      <w:r>
        <w:rPr>
          <w:rFonts w:hint="eastAsia" w:ascii="仿宋_GB2312" w:hAnsi="仿宋" w:eastAsia="仿宋_GB2312" w:cs="仿宋"/>
          <w:sz w:val="32"/>
          <w:szCs w:val="32"/>
        </w:rPr>
        <w:t>要求同时提交2000-3000字的</w:t>
      </w:r>
      <w:r>
        <w:rPr>
          <w:rFonts w:hint="eastAsia" w:ascii="仿宋_GB2312" w:hAnsi="Times New Roman" w:eastAsia="仿宋_GB2312" w:cs="仿宋_GB2312"/>
          <w:color w:val="000000"/>
          <w:kern w:val="0"/>
          <w:sz w:val="32"/>
          <w:szCs w:val="32"/>
        </w:rPr>
        <w:t>课程设计和课程纲要</w:t>
      </w:r>
      <w:r>
        <w:rPr>
          <w:rFonts w:hint="eastAsia" w:ascii="仿宋_GB2312" w:hAnsi="仿宋" w:eastAsia="仿宋_GB2312" w:cs="仿宋"/>
          <w:sz w:val="32"/>
          <w:szCs w:val="32"/>
        </w:rPr>
        <w:t>，内容包含标题、摘要（导图）、正文、结语及参考文献等，注明作者和作者单位。其中资源</w:t>
      </w:r>
      <w:r>
        <w:rPr>
          <w:rFonts w:hint="eastAsia" w:ascii="仿宋_GB2312" w:hAnsi="仿宋" w:eastAsia="仿宋_GB2312" w:cs="仿宋_GB2312"/>
          <w:color w:val="000000"/>
          <w:kern w:val="0"/>
          <w:sz w:val="32"/>
          <w:szCs w:val="32"/>
        </w:rPr>
        <w:t>摘要</w:t>
      </w:r>
      <w:r>
        <w:rPr>
          <w:rFonts w:hint="eastAsia" w:ascii="仿宋_GB2312" w:hAnsi="仿宋" w:eastAsia="仿宋_GB2312" w:cs="仿宋_GB2312"/>
          <w:color w:val="000000"/>
          <w:sz w:val="32"/>
          <w:szCs w:val="32"/>
        </w:rPr>
        <w:t>500字以内，简要陈述的核心内容</w:t>
      </w:r>
      <w:r>
        <w:rPr>
          <w:rFonts w:hint="eastAsia" w:ascii="仿宋_GB2312" w:hAnsi="仿宋" w:eastAsia="仿宋_GB2312" w:cs="仿宋_GB2312"/>
          <w:color w:val="000000"/>
          <w:kern w:val="0"/>
          <w:sz w:val="32"/>
          <w:szCs w:val="32"/>
        </w:rPr>
        <w:t>参照下列格式编目整理：</w:t>
      </w:r>
    </w:p>
    <w:tbl>
      <w:tblPr>
        <w:tblStyle w:val="4"/>
        <w:tblW w:w="8303" w:type="dxa"/>
        <w:tblInd w:w="0" w:type="dxa"/>
        <w:tblLayout w:type="fixed"/>
        <w:tblCellMar>
          <w:top w:w="0" w:type="dxa"/>
          <w:left w:w="108" w:type="dxa"/>
          <w:bottom w:w="0" w:type="dxa"/>
          <w:right w:w="108" w:type="dxa"/>
        </w:tblCellMar>
      </w:tblPr>
      <w:tblGrid>
        <w:gridCol w:w="4729"/>
        <w:gridCol w:w="1110"/>
        <w:gridCol w:w="1095"/>
        <w:gridCol w:w="1369"/>
      </w:tblGrid>
      <w:tr>
        <w:tc>
          <w:tcPr>
            <w:tcW w:w="4729" w:type="dxa"/>
            <w:tcBorders>
              <w:top w:val="single" w:color="auto" w:sz="4" w:space="0"/>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相关成果、成效与特色介绍</w:t>
            </w:r>
          </w:p>
        </w:tc>
        <w:tc>
          <w:tcPr>
            <w:tcW w:w="3574" w:type="dxa"/>
            <w:gridSpan w:val="3"/>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tcBorders>
              <w:top w:val="single" w:color="auto" w:sz="4" w:space="0"/>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规划与方案</w:t>
            </w:r>
          </w:p>
        </w:tc>
        <w:tc>
          <w:tcPr>
            <w:tcW w:w="3574" w:type="dxa"/>
            <w:gridSpan w:val="3"/>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tcBorders>
              <w:top w:val="single" w:color="auto" w:sz="4" w:space="0"/>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纲要</w:t>
            </w:r>
          </w:p>
        </w:tc>
        <w:tc>
          <w:tcPr>
            <w:tcW w:w="3574" w:type="dxa"/>
            <w:gridSpan w:val="3"/>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tcBorders>
              <w:top w:val="single" w:color="auto" w:sz="4" w:space="0"/>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设计与定位（本资源与整体教学规划的关系）</w:t>
            </w:r>
          </w:p>
        </w:tc>
        <w:tc>
          <w:tcPr>
            <w:tcW w:w="3574" w:type="dxa"/>
            <w:gridSpan w:val="3"/>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tcBorders>
              <w:top w:val="single" w:color="auto" w:sz="4" w:space="0"/>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内容简介</w:t>
            </w:r>
          </w:p>
        </w:tc>
        <w:tc>
          <w:tcPr>
            <w:tcW w:w="3574" w:type="dxa"/>
            <w:gridSpan w:val="3"/>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tcBorders>
              <w:top w:val="single" w:color="auto" w:sz="4" w:space="0"/>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实施情况简介</w:t>
            </w:r>
          </w:p>
        </w:tc>
        <w:tc>
          <w:tcPr>
            <w:tcW w:w="3574" w:type="dxa"/>
            <w:gridSpan w:val="3"/>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tcBorders>
              <w:top w:val="single" w:color="auto" w:sz="4" w:space="0"/>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问题与思考</w:t>
            </w:r>
          </w:p>
        </w:tc>
        <w:tc>
          <w:tcPr>
            <w:tcW w:w="3574" w:type="dxa"/>
            <w:gridSpan w:val="3"/>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vMerge w:val="restart"/>
            <w:tcBorders>
              <w:top w:val="nil"/>
              <w:left w:val="single" w:color="auto" w:sz="4" w:space="0"/>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近三年开课情况（适用年级与学生参与数）</w:t>
            </w:r>
          </w:p>
        </w:tc>
        <w:tc>
          <w:tcPr>
            <w:tcW w:w="1110" w:type="dxa"/>
            <w:tcBorders>
              <w:top w:val="single" w:color="auto" w:sz="4" w:space="0"/>
              <w:left w:val="nil"/>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年度</w:t>
            </w:r>
          </w:p>
        </w:tc>
        <w:tc>
          <w:tcPr>
            <w:tcW w:w="1095" w:type="dxa"/>
            <w:tcBorders>
              <w:top w:val="single" w:color="auto" w:sz="4" w:space="0"/>
              <w:left w:val="nil"/>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年级</w:t>
            </w:r>
          </w:p>
        </w:tc>
        <w:tc>
          <w:tcPr>
            <w:tcW w:w="1369" w:type="dxa"/>
            <w:tcBorders>
              <w:top w:val="single" w:color="auto" w:sz="4" w:space="0"/>
              <w:left w:val="nil"/>
              <w:bottom w:val="single" w:color="auto" w:sz="4" w:space="0"/>
              <w:right w:val="single" w:color="auto" w:sz="4" w:space="0"/>
            </w:tcBorders>
            <w:noWrap w:val="0"/>
            <w:vAlign w:val="center"/>
          </w:tcPr>
          <w:p>
            <w:pPr>
              <w:pStyle w:val="3"/>
              <w:widowControl/>
              <w:snapToGrid w:val="0"/>
              <w:spacing w:line="360" w:lineRule="exact"/>
              <w:ind w:right="-85"/>
              <w:jc w:val="center"/>
              <w:rPr>
                <w:rFonts w:hint="eastAsia" w:ascii="仿宋_GB2312" w:hAnsi="仿宋" w:eastAsia="仿宋_GB2312" w:cs="仿宋_GB2312"/>
                <w:color w:val="000000"/>
              </w:rPr>
            </w:pPr>
            <w:r>
              <w:rPr>
                <w:rFonts w:hint="eastAsia" w:ascii="仿宋_GB2312" w:hAnsi="仿宋" w:eastAsia="仿宋_GB2312" w:cs="仿宋_GB2312"/>
                <w:color w:val="000000"/>
              </w:rPr>
              <w:t>学生参与数</w:t>
            </w:r>
          </w:p>
        </w:tc>
      </w:tr>
      <w:tr>
        <w:tblPrEx>
          <w:tblCellMar>
            <w:top w:w="0" w:type="dxa"/>
            <w:left w:w="108" w:type="dxa"/>
            <w:bottom w:w="0" w:type="dxa"/>
            <w:right w:w="108" w:type="dxa"/>
          </w:tblCellMar>
        </w:tblPrEx>
        <w:tc>
          <w:tcPr>
            <w:tcW w:w="4729"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1110"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c>
          <w:tcPr>
            <w:tcW w:w="1095"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c>
          <w:tcPr>
            <w:tcW w:w="136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1110"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c>
          <w:tcPr>
            <w:tcW w:w="1095"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c>
          <w:tcPr>
            <w:tcW w:w="136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r>
        <w:tblPrEx>
          <w:tblCellMar>
            <w:top w:w="0" w:type="dxa"/>
            <w:left w:w="108" w:type="dxa"/>
            <w:bottom w:w="0" w:type="dxa"/>
            <w:right w:w="108" w:type="dxa"/>
          </w:tblCellMar>
        </w:tblPrEx>
        <w:tc>
          <w:tcPr>
            <w:tcW w:w="4729"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1110"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c>
          <w:tcPr>
            <w:tcW w:w="1095"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c>
          <w:tcPr>
            <w:tcW w:w="1369" w:type="dxa"/>
            <w:tcBorders>
              <w:top w:val="single" w:color="auto" w:sz="4" w:space="0"/>
              <w:left w:val="nil"/>
              <w:bottom w:val="single" w:color="auto" w:sz="4" w:space="0"/>
              <w:right w:val="single" w:color="auto" w:sz="4" w:space="0"/>
            </w:tcBorders>
            <w:noWrap w:val="0"/>
            <w:vAlign w:val="top"/>
          </w:tcPr>
          <w:p>
            <w:pPr>
              <w:pStyle w:val="3"/>
              <w:widowControl/>
              <w:snapToGrid w:val="0"/>
              <w:spacing w:line="360" w:lineRule="exact"/>
              <w:ind w:right="-85" w:firstLine="120" w:firstLineChars="50"/>
              <w:rPr>
                <w:rFonts w:hint="eastAsia" w:ascii="仿宋_GB2312" w:hAnsi="仿宋" w:eastAsia="仿宋_GB2312" w:cs="仿宋_GB2312"/>
                <w:color w:val="000000"/>
              </w:rPr>
            </w:pPr>
          </w:p>
        </w:tc>
      </w:tr>
    </w:tbl>
    <w:p>
      <w:pPr>
        <w:pStyle w:val="3"/>
        <w:widowControl/>
        <w:snapToGrid w:val="0"/>
        <w:spacing w:line="560" w:lineRule="exact"/>
        <w:ind w:right="-86" w:firstLine="640"/>
        <w:outlineLvl w:val="0"/>
        <w:rPr>
          <w:rFonts w:hint="eastAsia" w:ascii="仿宋_GB2312" w:hAnsi="仿宋" w:eastAsia="仿宋_GB2312" w:cs="仿宋_GB2312"/>
          <w:color w:val="000000"/>
          <w:sz w:val="32"/>
          <w:szCs w:val="32"/>
        </w:rPr>
      </w:pPr>
      <w:r>
        <w:rPr>
          <w:rFonts w:hint="eastAsia" w:ascii="黑体" w:hAnsi="宋体" w:eastAsia="黑体" w:cs="黑体"/>
          <w:color w:val="000000"/>
          <w:kern w:val="0"/>
          <w:sz w:val="32"/>
          <w:szCs w:val="32"/>
        </w:rPr>
        <w:t>二、技术要求</w:t>
      </w:r>
    </w:p>
    <w:p>
      <w:pPr>
        <w:pStyle w:val="3"/>
        <w:widowControl/>
        <w:snapToGrid w:val="0"/>
        <w:spacing w:line="560" w:lineRule="exact"/>
        <w:ind w:firstLine="643" w:firstLineChars="200"/>
        <w:outlineLvl w:val="1"/>
        <w:rPr>
          <w:rFonts w:hint="eastAsia" w:ascii="仿宋_GB2312" w:hAnsi="仿宋" w:eastAsia="仿宋_GB2312" w:cs="仿宋_GB2312"/>
          <w:color w:val="000000"/>
          <w:sz w:val="32"/>
          <w:szCs w:val="32"/>
        </w:rPr>
      </w:pPr>
      <w:r>
        <w:rPr>
          <w:rFonts w:hint="eastAsia" w:ascii="楷体_GB2312" w:hAnsi="Times New Roman" w:eastAsia="楷体_GB2312" w:cs="楷体_GB2312"/>
          <w:b/>
          <w:color w:val="000000"/>
          <w:kern w:val="0"/>
          <w:sz w:val="32"/>
          <w:szCs w:val="32"/>
        </w:rPr>
        <w:t>（一）视频要求</w:t>
      </w:r>
    </w:p>
    <w:p>
      <w:pPr>
        <w:pStyle w:val="3"/>
        <w:widowControl/>
        <w:snapToGrid w:val="0"/>
        <w:spacing w:line="560" w:lineRule="exact"/>
        <w:ind w:right="-86" w:firstLine="64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可以采用视频拍摄、屏幕录制、多媒体软件合成或综合运用以上多种方式进行制作。</w:t>
      </w:r>
    </w:p>
    <w:p>
      <w:pPr>
        <w:pStyle w:val="3"/>
        <w:widowControl/>
        <w:snapToGrid w:val="0"/>
        <w:spacing w:line="560" w:lineRule="exact"/>
        <w:ind w:right="-86" w:firstLine="64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1.视频图像同步性能稳定，色还原正常，无失帧，无抖动跳跃，无色闪，分辨率以不变形、无压缩、清晰可见为基本要求，建议分辨率不低于1280×720（16:9）；</w:t>
      </w:r>
    </w:p>
    <w:p>
      <w:pPr>
        <w:pStyle w:val="3"/>
        <w:widowControl/>
        <w:snapToGrid w:val="0"/>
        <w:spacing w:line="560" w:lineRule="exact"/>
        <w:ind w:right="-86" w:firstLine="64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2.声音清晰无明显失真，无交流声或其他杂音，音量适中，无明显起伏，声音与画面同步；</w:t>
      </w:r>
    </w:p>
    <w:p>
      <w:pPr>
        <w:pStyle w:val="3"/>
        <w:widowControl/>
        <w:snapToGrid w:val="0"/>
        <w:spacing w:line="560" w:lineRule="exact"/>
        <w:ind w:right="-86" w:firstLine="640"/>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3.比特率与视频源相同为4mbps及以上。上传报送视频采用MP4格式，压缩采用H.264编码方式，码流率256-1024 Kbps，帧率不低于25fps。妥善保存未经压缩的视频源文件。</w:t>
      </w:r>
    </w:p>
    <w:p>
      <w:pPr>
        <w:pStyle w:val="3"/>
        <w:widowControl/>
        <w:snapToGrid w:val="0"/>
        <w:spacing w:line="560" w:lineRule="exact"/>
        <w:ind w:right="-86" w:firstLine="640"/>
        <w:rPr>
          <w:rFonts w:hint="eastAsia" w:ascii="仿宋_GB2312" w:hAnsi="仿宋" w:eastAsia="仿宋_GB2312" w:cs="仿宋_GB2312"/>
          <w:color w:val="000000"/>
          <w:sz w:val="32"/>
          <w:szCs w:val="32"/>
        </w:rPr>
      </w:pPr>
      <w:r>
        <w:rPr>
          <w:rFonts w:hint="eastAsia" w:ascii="仿宋_GB2312" w:hAnsi="仿宋" w:eastAsia="仿宋_GB2312" w:cs="仿宋_GB2312"/>
          <w:color w:val="000000"/>
          <w:kern w:val="0"/>
          <w:sz w:val="32"/>
          <w:szCs w:val="32"/>
        </w:rPr>
        <w:t xml:space="preserve">4.片头要求出现作品名称、主讲教师姓名，片尾标注视频编制的单位及编制日期。 </w:t>
      </w:r>
    </w:p>
    <w:p>
      <w:pPr>
        <w:pStyle w:val="3"/>
        <w:widowControl/>
        <w:snapToGrid w:val="0"/>
        <w:spacing w:line="560" w:lineRule="exact"/>
        <w:ind w:firstLine="643" w:firstLineChars="200"/>
        <w:outlineLvl w:val="1"/>
        <w:rPr>
          <w:rFonts w:hint="eastAsia" w:ascii="楷体_GB2312" w:eastAsia="楷体_GB2312" w:cs="楷体_GB2312"/>
          <w:b/>
          <w:color w:val="000000"/>
          <w:sz w:val="32"/>
          <w:szCs w:val="32"/>
        </w:rPr>
      </w:pPr>
      <w:r>
        <w:rPr>
          <w:rFonts w:hint="eastAsia" w:ascii="楷体_GB2312" w:hAnsi="Times New Roman" w:eastAsia="楷体_GB2312" w:cs="楷体_GB2312"/>
          <w:b/>
          <w:color w:val="000000"/>
          <w:kern w:val="0"/>
          <w:sz w:val="32"/>
          <w:szCs w:val="32"/>
        </w:rPr>
        <w:t>（二）图片要求</w:t>
      </w:r>
    </w:p>
    <w:p>
      <w:pPr>
        <w:pStyle w:val="3"/>
        <w:widowControl/>
        <w:snapToGrid w:val="0"/>
        <w:spacing w:line="560" w:lineRule="exact"/>
        <w:ind w:right="-86" w:firstLine="640"/>
      </w:pPr>
      <w:r>
        <w:rPr>
          <w:rFonts w:hint="eastAsia" w:ascii="仿宋_GB2312" w:hAnsi="仿宋" w:eastAsia="仿宋_GB2312" w:cs="仿宋_GB2312"/>
          <w:color w:val="000000"/>
          <w:kern w:val="0"/>
          <w:sz w:val="32"/>
          <w:szCs w:val="32"/>
        </w:rPr>
        <w:t>图片为JPG格式，像素不小于720×576。</w:t>
      </w:r>
    </w:p>
    <w:p>
      <w:pPr>
        <w:pStyle w:val="3"/>
        <w:widowControl/>
        <w:snapToGrid w:val="0"/>
        <w:spacing w:line="560" w:lineRule="exact"/>
        <w:ind w:firstLine="643" w:firstLineChars="200"/>
        <w:outlineLvl w:val="1"/>
        <w:rPr>
          <w:rFonts w:hint="eastAsia" w:ascii="楷体_GB2312" w:eastAsia="楷体_GB2312" w:cs="楷体_GB2312"/>
          <w:b/>
          <w:color w:val="000000"/>
          <w:sz w:val="32"/>
          <w:szCs w:val="32"/>
        </w:rPr>
      </w:pPr>
      <w:r>
        <w:rPr>
          <w:rFonts w:hint="eastAsia" w:ascii="楷体_GB2312" w:hAnsi="Times New Roman" w:eastAsia="楷体_GB2312" w:cs="楷体_GB2312"/>
          <w:b/>
          <w:color w:val="000000"/>
          <w:kern w:val="0"/>
          <w:sz w:val="32"/>
          <w:szCs w:val="32"/>
        </w:rPr>
        <w:t>（三）文档要求</w:t>
      </w:r>
    </w:p>
    <w:p>
      <w:pPr>
        <w:pStyle w:val="3"/>
        <w:widowControl/>
        <w:snapToGrid w:val="0"/>
        <w:spacing w:line="560" w:lineRule="exact"/>
        <w:ind w:right="-86" w:firstLine="640"/>
      </w:pPr>
      <w:r>
        <w:rPr>
          <w:rFonts w:hint="eastAsia" w:ascii="仿宋_GB2312" w:hAnsi="仿宋" w:eastAsia="仿宋_GB2312" w:cs="仿宋_GB2312"/>
          <w:color w:val="000000"/>
          <w:kern w:val="0"/>
          <w:sz w:val="32"/>
          <w:szCs w:val="32"/>
        </w:rPr>
        <w:t>doc格式，其中申报表文档还须上传一份pdf格式。</w:t>
      </w:r>
    </w:p>
    <w:p>
      <w:pPr>
        <w:rPr>
          <w:rFonts w:hint="eastAsia" w:ascii="黑体" w:hAnsi="宋体" w:eastAsia="黑体" w:cs="仿宋_GB2312"/>
          <w:color w:val="000000"/>
          <w:sz w:val="32"/>
          <w:szCs w:val="32"/>
          <w:lang w:bidi="ar"/>
        </w:rPr>
      </w:pPr>
    </w:p>
    <w:p>
      <w:pPr>
        <w:rPr>
          <w:rFonts w:hint="eastAsia" w:ascii="黑体" w:hAnsi="宋体" w:eastAsia="黑体" w:cs="仿宋_GB2312"/>
          <w:color w:val="000000"/>
          <w:sz w:val="32"/>
          <w:szCs w:val="32"/>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3 -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437D7"/>
    <w:rsid w:val="6E3437D7"/>
    <w:rsid w:val="714B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 w:type="paragraph" w:customStyle="1" w:styleId="6">
    <w:name w:val="Normal"/>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2020-04-01T00:26:00Z</dcterms:created>
  <dc:creator>笨~笨~尕蒋</dc:creator>
  <cp:lastModifiedBy>笨~笨~尕蒋</cp:lastModifiedBy>
  <dcterms:modified xsi:type="dcterms:W3CDTF">2020-04-01T00:28:01Z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