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省级精品教学空间评价指标</w:t>
      </w:r>
      <w:bookmarkEnd w:id="0"/>
    </w:p>
    <w:tbl>
      <w:tblPr>
        <w:tblStyle w:val="2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90"/>
        <w:gridCol w:w="3276"/>
        <w:gridCol w:w="3417"/>
        <w:gridCol w:w="670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Times New Roman" w:eastAsia="黑体" w:cs="黑体"/>
                <w:color w:val="00000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lang w:bidi="ar"/>
              </w:rPr>
              <w:t>评价指标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Times New Roman" w:eastAsia="黑体" w:cs="黑体"/>
                <w:color w:val="00000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lang w:bidi="ar"/>
              </w:rPr>
              <w:t>评价指标说明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Times New Roman" w:eastAsia="黑体" w:cs="黑体"/>
                <w:color w:val="00000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lang w:bidi="ar"/>
              </w:rPr>
              <w:t>分值说明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Times New Roman" w:eastAsia="黑体" w:cs="黑体"/>
                <w:color w:val="000000"/>
                <w:sz w:val="24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lang w:bidi="ar"/>
              </w:rPr>
              <w:t>分值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Times New Roman" w:eastAsia="黑体" w:cs="黑体"/>
                <w:color w:val="00000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课程建设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（</w:t>
            </w:r>
            <w:r>
              <w:rPr>
                <w:rFonts w:hint="eastAsia" w:ascii="黑体" w:hAnsi="黑体" w:eastAsia="黑体"/>
                <w:b w:val="0"/>
                <w:color w:val="000000"/>
                <w:sz w:val="24"/>
                <w:lang w:bidi="ar"/>
              </w:rPr>
              <w:t>1</w:t>
            </w:r>
            <w:r>
              <w:rPr>
                <w:rFonts w:ascii="黑体" w:hAnsi="黑体" w:eastAsia="黑体"/>
                <w:b w:val="0"/>
                <w:color w:val="000000"/>
                <w:sz w:val="24"/>
                <w:lang w:bidi="ar"/>
              </w:rPr>
              <w:t>0</w:t>
            </w: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分）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课程简介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开课时上传课程简介，包括预期目标、教师介绍、适用对象、教学计划、学习基础、评价标准。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完成课程简介上传，得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  <w:t>平台统计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仿宋_GB2312"/>
                <w:b w:val="0"/>
                <w:color w:val="000000"/>
                <w:sz w:val="24"/>
                <w:lang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配套材料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配套材料丰富详实，包括学案、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课件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、练习单等。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上传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个配套材料得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0.4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分，上限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课程应用（</w:t>
            </w:r>
            <w:r>
              <w:rPr>
                <w:rFonts w:hint="eastAsia" w:ascii="黑体" w:hAnsi="黑体" w:eastAsia="黑体"/>
                <w:b w:val="0"/>
                <w:color w:val="000000"/>
                <w:sz w:val="24"/>
                <w:lang w:bidi="ar"/>
              </w:rPr>
              <w:t>50</w:t>
            </w: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分）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学生学习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网络学员数量。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按照排名分档赋分。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 w:cs="仿宋_GB2312"/>
                <w:b w:val="0"/>
                <w:color w:val="000000"/>
                <w:sz w:val="24"/>
                <w:lang w:bidi="ar"/>
              </w:rPr>
            </w:pP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仿宋_GB2312"/>
                <w:color w:val="000000"/>
                <w:szCs w:val="21"/>
                <w:lang w:bidi="ar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获系统学分的互联网学生数量。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按照排名分档赋分。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课程访问人次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课程播放次数。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按照排名分档赋分。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课程互动情况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练习评测、答疑交流。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一次有效操作得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0.1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分。上限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20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学生评价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互联网学生对于课程的满意度评价。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取互联网学生评分平均值，未评分默认为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0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专家评审（</w:t>
            </w:r>
            <w:r>
              <w:rPr>
                <w:rFonts w:ascii="黑体" w:hAnsi="黑体" w:eastAsia="黑体"/>
                <w:b w:val="0"/>
                <w:color w:val="000000"/>
                <w:sz w:val="24"/>
                <w:lang w:bidi="ar"/>
              </w:rPr>
              <w:t>4</w:t>
            </w:r>
            <w:r>
              <w:rPr>
                <w:rFonts w:hint="eastAsia" w:ascii="黑体" w:hAnsi="黑体" w:eastAsia="黑体"/>
                <w:b w:val="0"/>
                <w:color w:val="000000"/>
                <w:sz w:val="24"/>
                <w:lang w:bidi="ar"/>
              </w:rPr>
              <w:t>0</w:t>
            </w: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分）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课程质量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课程满足《网络同步课程建设要求（试行）》。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专家评分。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  <w:t>专家打分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案例提炼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从空间在课程开发、网络教学互动、网络教学评价、网络同步课程促进教育均衡、实现精准教学等角度提炼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个空间课程相关的应用典型案例，重点要介绍应用场景、解决的问题、取得的效果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专家评分。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6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空间整体情况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空间页面整体围绕课程主题，特色鲜明；头像设置、背景设置、界面格局等有主题特色；学习成果、资源等内容要与主题相切合。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专家评分。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总计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100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黑体" w:hAnsi="黑体" w:eastAsia="黑体"/>
                <w:b w:val="0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加分项（</w:t>
            </w:r>
            <w:r>
              <w:rPr>
                <w:rFonts w:hint="eastAsia" w:ascii="黑体" w:hAnsi="黑体" w:eastAsia="黑体"/>
                <w:b w:val="0"/>
                <w:color w:val="000000"/>
                <w:sz w:val="24"/>
                <w:lang w:bidi="ar"/>
              </w:rPr>
              <w:t>20</w:t>
            </w:r>
            <w:r>
              <w:rPr>
                <w:rFonts w:hint="eastAsia" w:ascii="黑体" w:hAnsi="黑体" w:eastAsia="黑体" w:cs="仿宋_GB2312"/>
                <w:b w:val="0"/>
                <w:color w:val="000000"/>
                <w:sz w:val="24"/>
                <w:lang w:bidi="ar"/>
              </w:rPr>
              <w:t>分）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区域外用户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本设区市以外用户报名参与课程学习。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每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名</w:t>
            </w: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设区市外用户获得教师分配的空间学分，得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分，上限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  <w:t>平台统计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优秀学员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学员被评为省“优秀学习空间”。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每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名学员获得省“优秀学习空间”，得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分，上限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670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bidi="ar"/>
              </w:rPr>
              <w:t>设区市负责人审查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培训推广</w:t>
            </w:r>
          </w:p>
        </w:tc>
        <w:tc>
          <w:tcPr>
            <w:tcW w:w="3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开展网络学习空间及网络课程培训推广。提交公开网站新闻报道截图，每一场参训教师不少于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30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人。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Cs w:val="21"/>
                <w:lang w:bidi="ar"/>
              </w:rPr>
              <w:t>每开展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场，得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分，上限</w:t>
            </w: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color w:val="000000"/>
                <w:szCs w:val="21"/>
                <w:lang w:bidi="ar"/>
              </w:rPr>
              <w:t>分。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6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szCs w:val="21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92134"/>
    <w:rsid w:val="137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2020-04-01T10:44:00Z</dcterms:created>
  <dc:creator>笨~笨~尕蒋</dc:creator>
  <cp:lastModifiedBy>笨~笨~尕蒋</cp:lastModifiedBy>
  <dcterms:modified xsi:type="dcterms:W3CDTF">2020-04-01T10:44:36Z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